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eastAsia="Times New Roman" w:cs="Times New Roman"/>
          <w:b/>
          <w:b/>
          <w:sz w:val="26"/>
          <w:szCs w:val="26"/>
        </w:rPr>
      </w:pPr>
      <w:r>
        <w:rPr>
          <w:rFonts w:eastAsia="Times New Roman" w:cs="Times New Roman" w:ascii="Times New Roman" w:hAnsi="Times New Roman"/>
          <w:b/>
          <w:sz w:val="26"/>
          <w:szCs w:val="26"/>
        </w:rPr>
        <w:t>ДОГОВОР ВОЗМЕЗДНОГО ОКАЗАНИЯ УСЛУГ № __________</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г.                                                                            </w:t>
        <w:tab/>
        <w:tab/>
        <w:t xml:space="preserve">           </w:t>
        <w:tab/>
        <w:tab/>
        <w:tab/>
        <w:t xml:space="preserve"> ______       </w:t>
      </w:r>
    </w:p>
    <w:p>
      <w:pPr>
        <w:pStyle w:val="Normal"/>
        <w:spacing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b w:val="false"/>
          <w:bCs w:val="false"/>
          <w:sz w:val="24"/>
          <w:szCs w:val="24"/>
        </w:rPr>
        <w:t>Общество с ограниченной ответственностью "Джи Пи Эм", в лице Генерального директора Клестова Никиты Алексеевича,</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действующего на основании Устава</w:t>
      </w:r>
      <w:r>
        <w:rPr>
          <w:rFonts w:eastAsia="Times New Roman" w:cs="Times New Roman" w:ascii="Times New Roman" w:hAnsi="Times New Roman"/>
          <w:b/>
          <w:sz w:val="24"/>
          <w:szCs w:val="24"/>
        </w:rPr>
        <w:t>,</w:t>
      </w:r>
      <w:r>
        <w:rPr>
          <w:rFonts w:eastAsia="Times New Roman" w:cs="Times New Roman" w:ascii="Times New Roman" w:hAnsi="Times New Roman"/>
          <w:sz w:val="24"/>
          <w:szCs w:val="24"/>
        </w:rPr>
        <w:t xml:space="preserve"> именуемое в дальнейшем Исполнитель, с одной стороны, и _________</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именуемое в дальнейшем Заказчик, в лице  Генерального директора _______________, действующего на основании устава, с другой стороны, вместе именуемые Стороны, заключили настоящий договор о нижеследующем:</w:t>
      </w:r>
    </w:p>
    <w:p>
      <w:pPr>
        <w:pStyle w:val="Normal"/>
        <w:spacing w:lineRule="auto" w:line="240" w:before="0" w:after="0"/>
        <w:ind w:firstLine="567"/>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numPr>
          <w:ilvl w:val="0"/>
          <w:numId w:val="3"/>
        </w:numPr>
        <w:pBdr/>
        <w:spacing w:lineRule="auto" w:line="240" w:before="0" w:after="0"/>
        <w:ind w:left="0" w:firstLine="567"/>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ПРЕДМЕТ ДОГОВОРА</w:t>
      </w:r>
    </w:p>
    <w:p>
      <w:pPr>
        <w:pStyle w:val="Normal"/>
        <w:numPr>
          <w:ilvl w:val="1"/>
          <w:numId w:val="2"/>
        </w:numPr>
        <w:tabs>
          <w:tab w:val="clear" w:pos="720"/>
          <w:tab w:val="left" w:pos="851" w:leader="none"/>
        </w:tabs>
        <w:spacing w:lineRule="auto" w:line="240" w:before="0" w:after="0"/>
        <w:ind w:firstLine="85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По настоящему договору Исполнитель обязуется оказывать, а Заказчик принимать и оплачивать указанные услуги на условиях и в порядке, установленном настоящим Договором:</w:t>
      </w:r>
    </w:p>
    <w:p>
      <w:pPr>
        <w:pStyle w:val="Normal"/>
        <w:numPr>
          <w:ilvl w:val="2"/>
          <w:numId w:val="2"/>
        </w:numPr>
        <w:tabs>
          <w:tab w:val="clear" w:pos="720"/>
          <w:tab w:val="left" w:pos="900" w:leader="none"/>
          <w:tab w:val="left" w:pos="993" w:leader="none"/>
          <w:tab w:val="left" w:pos="1418" w:leader="none"/>
          <w:tab w:val="left" w:pos="1985" w:leader="none"/>
        </w:tabs>
        <w:spacing w:lineRule="auto" w:line="240" w:before="0" w:after="0"/>
        <w:ind w:left="0" w:firstLine="85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Оказание погрузо-разгрузочных услуг;</w:t>
      </w:r>
    </w:p>
    <w:p>
      <w:pPr>
        <w:pStyle w:val="Normal"/>
        <w:numPr>
          <w:ilvl w:val="2"/>
          <w:numId w:val="2"/>
        </w:numPr>
        <w:tabs>
          <w:tab w:val="clear" w:pos="720"/>
          <w:tab w:val="left" w:pos="900" w:leader="none"/>
          <w:tab w:val="left" w:pos="993" w:leader="none"/>
          <w:tab w:val="left" w:pos="1418" w:leader="none"/>
          <w:tab w:val="left" w:pos="1985" w:leader="none"/>
        </w:tabs>
        <w:spacing w:lineRule="auto" w:line="240" w:before="0" w:after="0"/>
        <w:ind w:left="0" w:firstLine="85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Оказание транспортных услуг;</w:t>
      </w:r>
    </w:p>
    <w:p>
      <w:pPr>
        <w:pStyle w:val="Normal"/>
        <w:numPr>
          <w:ilvl w:val="2"/>
          <w:numId w:val="2"/>
        </w:numPr>
        <w:tabs>
          <w:tab w:val="clear" w:pos="720"/>
          <w:tab w:val="left" w:pos="900" w:leader="none"/>
          <w:tab w:val="left" w:pos="993" w:leader="none"/>
          <w:tab w:val="left" w:pos="1418" w:leader="none"/>
        </w:tabs>
        <w:spacing w:lineRule="auto" w:line="240" w:before="0" w:after="0"/>
        <w:ind w:left="0" w:firstLine="85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Оказание прочих сопутствующих услуг.</w:t>
      </w:r>
    </w:p>
    <w:p>
      <w:pPr>
        <w:pStyle w:val="Normal"/>
        <w:tabs>
          <w:tab w:val="clear" w:pos="720"/>
          <w:tab w:val="left" w:pos="900" w:leader="none"/>
          <w:tab w:val="left" w:pos="993" w:leader="none"/>
          <w:tab w:val="left" w:pos="1418" w:leader="none"/>
        </w:tabs>
        <w:spacing w:lineRule="auto" w:line="240" w:before="0" w:after="0"/>
        <w:ind w:left="681"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3"/>
        </w:numPr>
        <w:pBdr/>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highlight w:val="white"/>
        </w:rPr>
        <w:t>ОБЩИЕ ПОЛОЖЕНИЯ</w:t>
      </w:r>
    </w:p>
    <w:p>
      <w:pPr>
        <w:pStyle w:val="ListParagraph"/>
        <w:numPr>
          <w:ilvl w:val="1"/>
          <w:numId w:val="4"/>
        </w:numPr>
        <w:spacing w:lineRule="auto" w:line="240" w:before="0" w:after="0"/>
        <w:ind w:left="0" w:firstLine="72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shd w:fill="FFFFFF" w:val="clear"/>
        </w:rPr>
        <w:t xml:space="preserve">  </w:t>
      </w:r>
      <w:r>
        <w:rPr>
          <w:rFonts w:cs="Times New Roman" w:ascii="Times New Roman" w:hAnsi="Times New Roman"/>
          <w:color w:val="000000"/>
          <w:sz w:val="24"/>
          <w:szCs w:val="24"/>
          <w:shd w:fill="FFFFFF" w:val="clear"/>
        </w:rPr>
        <w:t>Заказчик передает заказы по выполнению заявленных услуг Исполнителю посредством электронной почты, мессенджеров или в устной форме не позднее 18:00 дня, предшествующего дню оказания услуг в форме Заявки на оказание услуг (Приложение № 2 к Договору) или в иной согласованной Сторонами форме:</w:t>
      </w:r>
    </w:p>
    <w:p>
      <w:pPr>
        <w:pStyle w:val="ListParagraph"/>
        <w:numPr>
          <w:ilvl w:val="0"/>
          <w:numId w:val="5"/>
        </w:numPr>
        <w:spacing w:lineRule="auto" w:line="240" w:before="0" w:after="0"/>
        <w:ind w:left="0" w:firstLine="720"/>
        <w:jc w:val="both"/>
        <w:rPr>
          <w:rFonts w:ascii="Times New Roman" w:hAnsi="Times New Roman" w:cs="Times New Roman"/>
          <w:color w:val="000000"/>
          <w:sz w:val="24"/>
          <w:szCs w:val="24"/>
          <w:highlight w:val="white"/>
        </w:rPr>
      </w:pPr>
      <w:r>
        <w:rPr>
          <w:rFonts w:cs="Times New Roman" w:ascii="Times New Roman" w:hAnsi="Times New Roman"/>
          <w:color w:val="000000"/>
          <w:sz w:val="24"/>
          <w:szCs w:val="24"/>
          <w:shd w:fill="FFFFFF" w:val="clear"/>
        </w:rPr>
        <w:t>Заключая настоящий Договор, Стороны пришли к согласию, что надлежащим образом направленное уведомление будет считаться сообщение, направленное по электронной почте и по номеру телефона, в том числе с использованием мессенджеров. При этом Исполнитель подтверждает, что адрес электронной почты с доменным именем @</w:t>
      </w:r>
      <w:r>
        <w:rPr>
          <w:rFonts w:cs="Times New Roman" w:ascii="Times New Roman" w:hAnsi="Times New Roman"/>
          <w:sz w:val="24"/>
          <w:szCs w:val="24"/>
        </w:rPr>
        <w:t>gpm-workers.ru</w:t>
      </w:r>
      <w:r>
        <w:rPr>
          <w:rFonts w:cs="Times New Roman" w:ascii="Times New Roman" w:hAnsi="Times New Roman"/>
          <w:color w:val="000000"/>
          <w:sz w:val="24"/>
          <w:szCs w:val="24"/>
          <w:shd w:fill="FFFFFF" w:val="clear"/>
        </w:rPr>
        <w:t xml:space="preserve"> (или адрес электронной почты, указанный в счете) и телефон с номером 8(495)642-56-57 является надлежащим адресом и телефоном для получения уведомлений, Исполнитель имеет беспрепятственный доступ для просмотра сообщений и обязуется самостоятельно проверять указанный электронный почтовый адрес и телефон на наличие сообщений от Заказчика, а также контролировать круг лиц, имеющих доступ к получению, просмотру и отправке сообщений с указанного адреса и телефона, наделяя их соответствующими полномочиями. Со своей стороны Заказчик подтверждает, что адрес электронной почты с доменным именем </w:t>
      </w:r>
      <w:r>
        <w:rPr>
          <w:rFonts w:eastAsia="Times New Roman" w:cs="Times New Roman" w:ascii="Times New Roman" w:hAnsi="Times New Roman"/>
          <w:sz w:val="24"/>
          <w:szCs w:val="24"/>
        </w:rPr>
        <w:t>_____________</w:t>
      </w:r>
      <w:r>
        <w:rPr>
          <w:rFonts w:cs="Times New Roman" w:ascii="Times New Roman" w:hAnsi="Times New Roman"/>
          <w:color w:val="000000"/>
          <w:sz w:val="24"/>
          <w:szCs w:val="24"/>
          <w:shd w:fill="FFFFFF" w:val="clear"/>
        </w:rPr>
        <w:t xml:space="preserve"> (или адрес электронной почты, указанный в счете)  и телефон с номером </w:t>
      </w:r>
      <w:r>
        <w:rPr>
          <w:rFonts w:cs="Times New Roman" w:ascii="Times New Roman" w:hAnsi="Times New Roman"/>
          <w:color w:val="000000"/>
          <w:sz w:val="24"/>
          <w:szCs w:val="24"/>
          <w:highlight w:val="yellow"/>
          <w:shd w:fill="FFFFFF" w:val="clear"/>
        </w:rPr>
        <w:t>8800ХХХХХ</w:t>
      </w:r>
      <w:r>
        <w:rPr>
          <w:rFonts w:cs="Times New Roman" w:ascii="Times New Roman" w:hAnsi="Times New Roman"/>
          <w:color w:val="000000"/>
          <w:sz w:val="24"/>
          <w:szCs w:val="24"/>
          <w:shd w:fill="FFFFFF" w:val="clear"/>
        </w:rPr>
        <w:t xml:space="preserve"> является надлежащим адресом и телефоном для получения уведомлений, Заказчик имеет беспрепятственный доступ для просмотра сообщений и обязуется самостоятельно проверять указанный электронный почтовый адрес и телефон на наличие сообщений от Исполнителя, а также контролировать круг лиц, имеющих доступ к получению, просмотру и отправке сообщений с указанного адреса и телефона, наделяя их соответствующими полномочиями.</w:t>
      </w:r>
    </w:p>
    <w:p>
      <w:pPr>
        <w:pStyle w:val="ListParagraph"/>
        <w:numPr>
          <w:ilvl w:val="1"/>
          <w:numId w:val="4"/>
        </w:numPr>
        <w:spacing w:lineRule="auto" w:line="240" w:before="0" w:after="0"/>
        <w:ind w:left="0" w:firstLine="720"/>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rPr>
        <w:t>Исполнитель оказывает услуги по настоящему Договору своими силами, либо с привлечением третьих лиц. При оказании услуг по настоящему Договору третьими лицами, Исполнитель отвечает за их действия как за свои собственные.</w:t>
      </w:r>
    </w:p>
    <w:p>
      <w:pPr>
        <w:pStyle w:val="Normal"/>
        <w:pBdr/>
        <w:spacing w:lineRule="auto" w:line="240" w:before="0" w:after="0"/>
        <w:ind w:left="1080" w:hanging="0"/>
        <w:jc w:val="both"/>
        <w:rPr>
          <w:rFonts w:ascii="Times New Roman" w:hAnsi="Times New Roman" w:eastAsia="Times New Roman" w:cs="Times New Roman"/>
          <w:color w:val="000000"/>
          <w:sz w:val="24"/>
          <w:szCs w:val="24"/>
          <w:highlight w:val="yellow"/>
        </w:rPr>
      </w:pPr>
      <w:r>
        <w:rPr>
          <w:rFonts w:eastAsia="Times New Roman" w:cs="Times New Roman" w:ascii="Times New Roman" w:hAnsi="Times New Roman"/>
          <w:color w:val="000000"/>
          <w:sz w:val="24"/>
          <w:szCs w:val="24"/>
          <w:highlight w:val="yellow"/>
        </w:rPr>
      </w:r>
    </w:p>
    <w:p>
      <w:pPr>
        <w:pStyle w:val="Normal"/>
        <w:numPr>
          <w:ilvl w:val="0"/>
          <w:numId w:val="3"/>
        </w:numPr>
        <w:pBdr/>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ПРАВА И ОБЯЗАННОСТИ СТОРОН</w:t>
      </w:r>
    </w:p>
    <w:p>
      <w:pPr>
        <w:pStyle w:val="Normal"/>
        <w:numPr>
          <w:ilvl w:val="1"/>
          <w:numId w:val="3"/>
        </w:numPr>
        <w:pBdr/>
        <w:spacing w:lineRule="auto" w:line="240" w:before="0" w:after="0"/>
        <w:ind w:left="0" w:firstLine="72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b/>
          <w:color w:val="000000"/>
          <w:sz w:val="24"/>
          <w:szCs w:val="24"/>
        </w:rPr>
        <w:t>Заказчик обязуется:</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Предоставить точную информацию Исполнителю о времени и месте оказания Услуг. В случае изменения времени и места оказания Услуг Заказчик обязан сообщить об этом Исполнителю не менее чем за 12 часов.</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Обеспечить присутствие своего представителя на объекте, где Исполнитель оказывает услуги, если иное не предусмотрено условиями настоящего Договора.</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Своевременно предоставить необходимые Исполнителю условия для оказания услуг.</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Ознакомить Исполнителя с локальными нормативными правовыми актами, действующими у Заказчика, в том случае, если такие акты затрагивают вопросы по организации оказания услуг, охране труда, пожарной безопасности и иные требования, необходимые для безопасного и качественного оказания услуг. В случае невыполнения указанной обязанности Заказчик не вправе ссылаться на обязанность Исполнителя следовать указанным актам и правилам.</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Проводить инструктаж Исполнителя по технике безопасности, пожарной безопасности с обязательной отметкой об этом в журнале. Предоставить Исполнителю необходимые СИЗ, если оказываемые услуги требуют их использования. </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Обеспечить надлежащие условия оказания услуг Исполнителем и контроль за соблюдением действующих требований законодательства Российской Федерации. </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В даты оказания услуг подписать Исполнителю Лист учета услуг (Приложение № 3 к Договору, далее - «Лист учета»). Заказчик обязан обеспечить подписание соответствующих граф в Листе учета и/или ином акте приема-передачи представителем Заказчика, обладающим необходимыми полномочиями на его подписание. В случае подписания Листа учета лицом от имени Заказчика, чьи полномочия надлежащим образом не оформлены, Заказчик обязан сообщить об этом Исполнителю в течение 48 часов с момента, когда Исполнителю стало известно или должно было стать известно о подписании Листа учета от имени Заказчика ненадлежащим лицом. В противном случае обязательства Исполнителя будут считаться исполненными, Лист учета подписанным, а действия неуполномоченного лица одобренными Заказчиком в порядке ст. 183 ГК РФ.</w:t>
      </w:r>
    </w:p>
    <w:p>
      <w:pPr>
        <w:pStyle w:val="Normal"/>
        <w:pBdr/>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Заказчик также не в праве ссылаться на отсутствие полномочий у подписавшего Лист учета лица, если полномочия следуют из обстановки.  </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Подписать универсальный передаточный документ (далее – УПД) оказанных услуг. В случае, если УПД не был подписан Заказчиком в течение 3 (Трех) рабочих дней с момента его получения, при отсутствии письменного мотивированного отказа от его подписания со стороны Заказчика, УПД считается подписанным, услуги оказанными, оплата услуг производится в полном объеме. Подписать Лист учета и внести в него замечания в отношении качества, сроков и объема оказанных услуг. Невыполнение Заказчиком обязательств по внесению замечаний в Лист учета означает принятие результатов выполнения услуг в полном объеме.</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Оплатить оказанные Исполнителем услуги в соответствии с разделом 4 настоящего Договора. В случае, если место оказания услуг является удаленным, в том числе за пределами МКАД, Заказчик обязан возместить Исполнителю расходы на проезд. Вид транспорта, доставляющего сотрудников, определяется по усмотрению Исполнителя в зависимости от удаленности места и логистики. Расходы определяются квитанциями об оплате такси или билетами на общественный транспорт, а в случае отсутствия указанных документов – установленными тарифами на проезд в общественном транспорте и соответствующем таксопарке. </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Предоставить Исполнителю возможность использования на территории объекта Заказчика санитарными помещениями и помещениями для хранения личных вещей, в том числе оборудования, механизмов, устройств, инструментов, материалов.</w:t>
      </w:r>
    </w:p>
    <w:p>
      <w:pPr>
        <w:pStyle w:val="Normal"/>
        <w:numPr>
          <w:ilvl w:val="2"/>
          <w:numId w:val="3"/>
        </w:numPr>
        <w:pBdr/>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Обеспечивать во время оказания услуг сохранность находящихся на объекте Заказчика (в том числе в помещениях для хранения) личных вещей, оборудования, механизмов, устройств, инструментов, материалов Исполнителя.</w:t>
      </w:r>
    </w:p>
    <w:p>
      <w:pPr>
        <w:pStyle w:val="Normal"/>
        <w:numPr>
          <w:ilvl w:val="2"/>
          <w:numId w:val="3"/>
        </w:numPr>
        <w:pBdr/>
        <w:tabs>
          <w:tab w:val="clear" w:pos="720"/>
          <w:tab w:val="left" w:pos="1418" w:leader="none"/>
        </w:tabs>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Предупредить Исполнителя о вредных и/или опасных производственных факторах и рисках повреждения здоровья, которым Исполнитель может быть подвергнут в связи с оказанием услуг.</w:t>
      </w:r>
    </w:p>
    <w:p>
      <w:pPr>
        <w:pStyle w:val="Normal"/>
        <w:numPr>
          <w:ilvl w:val="2"/>
          <w:numId w:val="3"/>
        </w:numPr>
        <w:pBdr/>
        <w:tabs>
          <w:tab w:val="clear" w:pos="720"/>
          <w:tab w:val="left" w:pos="1418" w:leader="none"/>
        </w:tabs>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Незамедлительно информировать Исполнителя о несчастных случаях на производстве, произошедших с лицами Исполнителя, находящихся на Объекте Заказчика. Незамедлительно информировать Исполнителя о фактах порчи товарно-материальных ценностей по телефону и электронной почте сообщением в свободной форме, по вине Исполнителя.</w:t>
      </w:r>
    </w:p>
    <w:p>
      <w:pPr>
        <w:pStyle w:val="Normal"/>
        <w:numPr>
          <w:ilvl w:val="2"/>
          <w:numId w:val="3"/>
        </w:numPr>
        <w:pBdr/>
        <w:tabs>
          <w:tab w:val="clear" w:pos="720"/>
          <w:tab w:val="left" w:pos="1418" w:leader="none"/>
        </w:tabs>
        <w:spacing w:lineRule="auto" w:line="240" w:before="0" w:after="0"/>
        <w:ind w:left="0" w:firstLine="7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Заказчик обязуется не нанимать сотрудников Исполнителя, прямо или косвенно привлеченных к оказанию услуг, в течение срока действия Договора и 3 (трех) месяцев после прекращения Договора.</w:t>
      </w:r>
    </w:p>
    <w:p>
      <w:pPr>
        <w:pStyle w:val="Normal"/>
        <w:pBdr/>
        <w:tabs>
          <w:tab w:val="clear" w:pos="720"/>
          <w:tab w:val="left" w:pos="1418" w:leader="none"/>
        </w:tabs>
        <w:spacing w:lineRule="auto" w:line="240" w:before="0" w:after="0"/>
        <w:ind w:left="567"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numPr>
          <w:ilvl w:val="1"/>
          <w:numId w:val="3"/>
        </w:numPr>
        <w:pBdr/>
        <w:tabs>
          <w:tab w:val="clear" w:pos="720"/>
          <w:tab w:val="left" w:pos="3105"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Заказчик имеет право:</w:t>
      </w:r>
    </w:p>
    <w:p>
      <w:pPr>
        <w:pStyle w:val="Normal"/>
        <w:numPr>
          <w:ilvl w:val="2"/>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Отказаться от исполнения настоящего Договора при условии оплаты Исполнителю фактически понесенных им расходов. Отказ от Договора должен быть выражен Заказчиком в письменной форме.</w:t>
      </w:r>
    </w:p>
    <w:p>
      <w:pPr>
        <w:pStyle w:val="Normal"/>
        <w:numPr>
          <w:ilvl w:val="2"/>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Осуществлять контроль и надзор за ходом и качеством оказываемых Исполнителем услуг, соблюдением сроков оказания услуг, не вмешиваясь в его деятельность.</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3.3 </w:t>
      </w:r>
      <w:r>
        <w:rPr>
          <w:rFonts w:eastAsia="Times New Roman" w:cs="Times New Roman" w:ascii="Times New Roman" w:hAnsi="Times New Roman"/>
          <w:b/>
          <w:color w:val="000000"/>
          <w:sz w:val="24"/>
          <w:szCs w:val="24"/>
        </w:rPr>
        <w:t>Исполнитель обязан:</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3.3.1. По заявке Заказчика, в согласованные дату и время приступить к оказанию услуг, в соответствии с Приложением № 1 и Приложением № 2 к настоящему Договору.</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3.3.2. Оказывать услуги в соответствии с требованиями настоящего Договора, приложений к нему, обязательными для применения ГОСТами, санитарными правилами и нормами, требованиями по технике безопасности, требованиям действующего законодательства Российской Федерации.</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3.3.3. Бережно относится к имуществу Заказчика в том числе к санитарным помещениям, помещениям для хранения личных вещей, оборудованию, механизмам, устройствам, инструментам, материалам.</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3.3.4.   Предоставлять Заказчику в двух экземплярах подписанные Исполнителем УПД, составленные на основании Листа учета (либо при не предоставлении Листов учета Заказчиком, составленные на основании данных Исполнителя), а также счета на оплату.</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3.4. </w:t>
      </w:r>
      <w:r>
        <w:rPr>
          <w:rFonts w:eastAsia="Times New Roman" w:cs="Times New Roman" w:ascii="Times New Roman" w:hAnsi="Times New Roman"/>
          <w:b/>
          <w:color w:val="000000"/>
          <w:sz w:val="24"/>
          <w:szCs w:val="24"/>
        </w:rPr>
        <w:t xml:space="preserve"> Исполнитель имеет право:</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3.4.1. Приостановить оказание услуг, в случае если представляется невозможным исполнить их без нарушения техники безопасности, обязательными для применения ГОСТами, санитарными правилами и нормами, требованиям действующего законодательства Российской Федерации, при этом Заказчик оплачивает фактически оказанные услуги.</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3.4.2. В одностороннем порядке пересмотреть стоимость оказания услуг, не чаще одного раза за календарный год, на сумму не более 17 % (Семнадцати процентов).</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3.4.3.  Требовать от Заказчика своевременного подписания Листа учета и/или сообщать Заказчику информацию по оказанным услугам.</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3.4.4.  Потребовать от Заказчика оплаты полной стоимости услуг при отказе от Заявки Заказчиком позднее чем за 2 (два) часа до времени начала оказания услуг.</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3.4.5.</w:t>
      </w:r>
      <w:r>
        <w:rPr>
          <w:rFonts w:eastAsia="Arial" w:cs="Arial" w:ascii="Arial" w:hAnsi="Arial"/>
          <w:color w:val="222222"/>
          <w:highlight w:val="white"/>
        </w:rPr>
        <w:t xml:space="preserve">  </w:t>
      </w:r>
      <w:r>
        <w:rPr>
          <w:rFonts w:eastAsia="Times New Roman" w:cs="Times New Roman" w:ascii="Times New Roman" w:hAnsi="Times New Roman"/>
          <w:color w:val="000000"/>
          <w:sz w:val="24"/>
          <w:szCs w:val="24"/>
        </w:rPr>
        <w:t>Изменить стоимость оказания услуг при изменении Заказчиком условий оказания услуг по заявке позднее чем за 2 (два) часа до времени начала оказания услуг.</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numPr>
          <w:ilvl w:val="0"/>
          <w:numId w:val="3"/>
        </w:numPr>
        <w:pBdr/>
        <w:tabs>
          <w:tab w:val="clear" w:pos="720"/>
          <w:tab w:val="left" w:pos="0" w:leader="none"/>
        </w:tabs>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ЦЕНА И ПОРЯДОК РАСЧЕТОВ</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color w:val="000000"/>
          <w:sz w:val="24"/>
          <w:szCs w:val="24"/>
        </w:rPr>
        <w:t>За услуги, оказанные Заказчику Исполнителем по Договору, выплачивается вознаграждение согласно оказанному объему услуг и тарифов, указанных в Приложении №1 к Договору, либо, если в Приложении №1 заранее не определена цена услуги, цена определяется на основании Заявки и УПД. Единицы измерения оказанного объема услуг определяются Приложением №1 к Договору, Заявкой, Листом учета или УПД.</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Расчеты Сторон по настоящему Договору производятся в форме 100% предоплаты до начала оказания услуг, в размере соответствующем расчетному объему услуг по заполненной заявке на оказание услуг Заказчиком.</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Дополнительные услуги Исполнителя оплачиваются по действующим тарифам Исполнителя.</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Стоимость оказания услуг может быть изменена по взаимному согласию Сторон с обязательным оформлением данного изменения в письменной форме. Дополнительное соглашение об изменении цены оказания услуг является неотъемлемой частью настоящего Договора.</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При прекращении Договора, а также по инициативе любой из Сторон, производится сверка расчётов Сторон по Договору с оформлением Акта сверки расчётов. Акт сверки расчётов составляется заинтересованной Стороной и направляется другой Стороне. Сторона – получатель Акта сверки расчётов должна в течение 10 (десяти) рабочих дней со дня его получения либо подписать его и вернуть один экземпляр Стороне - отправителю, либо направить мотивированный отказ от его подписания.</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Расчеты между Сторонами производятся путем перечисления безналичных денежных средств на расчетный счет Исполнителя. Все расчеты производятся в рублях.</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cs="Times New Roman" w:ascii="Times New Roman" w:hAnsi="Times New Roman"/>
          <w:sz w:val="24"/>
          <w:szCs w:val="24"/>
        </w:rPr>
        <w:t>Если Исполнитель не имеет возможности выставить счет Заказчику до фактического начала оказания услуг, допускается выставление счета после завершения оказания услуг по заявкам. Окончательные расчеты с Исполнителем Заказчик обязан произвести в течение 3 (трёх) рабочих дней с момента получения счета по таким заявкам.</w:t>
      </w:r>
    </w:p>
    <w:p>
      <w:pPr>
        <w:pStyle w:val="Normal"/>
        <w:pBdr/>
        <w:tabs>
          <w:tab w:val="clear" w:pos="720"/>
          <w:tab w:val="left" w:pos="0" w:leader="none"/>
          <w:tab w:val="left" w:pos="567"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numPr>
          <w:ilvl w:val="0"/>
          <w:numId w:val="3"/>
        </w:numPr>
        <w:pBdr/>
        <w:tabs>
          <w:tab w:val="clear" w:pos="720"/>
          <w:tab w:val="left" w:pos="0" w:leader="none"/>
          <w:tab w:val="left" w:pos="567" w:leader="none"/>
        </w:tabs>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ПОРЯДОК СДАЧИ-ПРИЕМКИ УСЛУГ</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Лист учета Исполнитель предоставляет Заказчику в распечатанном виде, ответственное лицо Заказчика подписывает лист учета. В соответствии с п. 1 ст. 182 ГК РФ полномочия подписанта Листа учета явствуют из обстановки, действующей в дату оказания услуг (осуществление указанным лицом взаимодействия с лицами Исполнителя на объекте оказания услуг в интересах Заказчика). </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Лист учета должен содержать следующие данные: наименование юридического лица Заказчика, дата оказания услуги, точное количество времени, затраченное каждым лицом Исполнителя на оказание услуг по Заявке, либо время начала оказания услуг и время</w:t>
      </w:r>
      <w:r>
        <w:rPr>
          <w:rFonts w:eastAsia="Arial Narrow" w:cs="Arial Narrow" w:ascii="Arial Narrow" w:hAnsi="Arial Narrow"/>
          <w:color w:val="000000"/>
          <w:sz w:val="18"/>
          <w:szCs w:val="18"/>
        </w:rPr>
        <w:t xml:space="preserve"> </w:t>
      </w:r>
      <w:r>
        <w:rPr>
          <w:rFonts w:eastAsia="Times New Roman" w:cs="Times New Roman" w:ascii="Times New Roman" w:hAnsi="Times New Roman"/>
          <w:color w:val="000000"/>
          <w:sz w:val="24"/>
          <w:szCs w:val="24"/>
        </w:rPr>
        <w:t>окончания оказания услуг каждым лицом Исполнителя, вместо времени по согласованию с Исполнителем может быть указана единица измерения оказанной услуги (коробки, мешки, квадратные метры, кубические метры, погонные метры, вагоны, штуки и т.д.), отсутствие или наличие претензий к качеству оказанных услуг и ФИО подписавшего Лист учета со стороны Заказчика.</w:t>
      </w:r>
    </w:p>
    <w:p>
      <w:pPr>
        <w:pStyle w:val="Normal"/>
        <w:numPr>
          <w:ilvl w:val="1"/>
          <w:numId w:val="3"/>
        </w:numPr>
        <w:pBdr/>
        <w:tabs>
          <w:tab w:val="clear" w:pos="720"/>
          <w:tab w:val="left" w:pos="0" w:leader="none"/>
          <w:tab w:val="left" w:pos="567"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При уклонении от подписания Листа учета Заказчиком в дату оказания услуг по каждой конкретной Заявке, Исполнитель самостоятельно сообщает Заказчику объем оказанных услуг по таким Заявкам. Заказчик обязан аргументировано не согласиться с объемом оказанных услуг или качеством их оказания в течение одного рабочего дня с момента получения Лист учета. В противном случае Заказчик в дальнейшем утрачивает право оспаривать объем и качество оказанных услуг.</w:t>
      </w:r>
      <w:r>
        <w:rPr>
          <w:rFonts w:eastAsia="Times New Roman" w:cs="Times New Roman" w:ascii="Times New Roman" w:hAnsi="Times New Roman"/>
          <w:color w:val="000000"/>
          <w:sz w:val="24"/>
          <w:szCs w:val="24"/>
          <w:highlight w:val="yellow"/>
        </w:rPr>
        <w:t xml:space="preserve"> </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По окончании оказания услуг Исполнитель направляет на электронный адрес Заказчика УПД.</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Заказчик, принявший результат оказанной Услуги без проверки, лишается права ссылаться на недостатки оказанных услуг, которые могли быть установлены при обычном способе ее приемки (явные недостатки).</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Заказчик, обнаруживший в течение 3 (Трех) рабочих дней после приемки услуги отступления в ней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в течение 3 (Трех) рабочих дней со дня обнаружения известить об этом Исполнителя.</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случае возникновения между Сторонами настоящего договора спора по поводу недостатков оказанной услуги или их причин, по требованию любой из Сторон должна быть назначена экспертиза. Расходы на экспертизу несет Сторона, потребовавшая назначения экспертизы, а если она назначена по соглашению Сторон, обеими Сторонами поровну.</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numPr>
          <w:ilvl w:val="0"/>
          <w:numId w:val="3"/>
        </w:numPr>
        <w:pBdr/>
        <w:tabs>
          <w:tab w:val="clear" w:pos="720"/>
          <w:tab w:val="left" w:pos="0" w:leader="none"/>
        </w:tabs>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ОТВЕТСТВЕННОСТЬ СТОРОН</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случае задержки платежей Заказчик уплачивает Исполнителю неустойку в размере 0,1% от суммы платежа за каждый день просрочки, но не более 10% от стоимости несвоевременно оплаченных услуг.</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случае нарушения сроков исполнения настоящего Договора, Исполнитель уплачивает Заказчику неустойку в размере 0,1% от суммы платежа за каждый день просрочки, но не более 10% от стоимости несвоевременно оказанных услуг.</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Заказчик несет ответственность за ненадлежащее качество предоставленных им материалов и оборудования.</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случае привлечения Исполнителем третьих лиц для оказания услуг по настоящему Договору, ответственность за неисполнение или ненадлежащее исполнение его условий несет Исполнитель.</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При порче товарно-материальных ценностей, оборудования, помещений, если таковая произошла по вине Исполнителя, Заказчик обязан незамедлительно составить Акт о причинении материального ущерба. В Акте указывается: дата и время составления Акта, дата и время (если известно) причинения материального ущерба, наименование юридического лица Заказчика, ФИО представителя Заказчика, список лиц Исполнителя, причастных к причинению материального ущерба, подробное описание причиненного ущерба с указанием перечня ТМЦ и серийных номеров поврежденного оборудования (если известно). Факт порчи ТМЦ должен быть зафиксирован на фото и/или видео съемку в присутствии представителя Исполнителя.</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Исполнитель несет материальную ответственность, при доказанности факта причинения ущерба по вине Исполнителя, за уничтожение или повреждение ТМЦ Заказчика и/или третьих лиц в результате прямого действительного ущерба. Возмещаемый Заказчику ущерб, нанесенный Исполнителем, в ходе исполнения Договора (недостача денежных средств, кража, хищение, бой, порча товаров и т.п.), не является предметом обложения НДС у Сторон.</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Исполнитель не несет ответственности:</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за имущественный ущерб, причиненный вследствие форс-мажорных обстоятельств, залива, пожара, неисправности технических средств охраны объектов, где оказываются услуги, возникшие не по вине Исполнителя.</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за неисполнение обязательств, вызванных принятием органами государственной власти, управления, судом таких решений, которые ограничили или исключили возможность Исполнителя надлежащим образом Исполнитель свои обязанности по Договору.</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если доверенный груз Исполнителю при его перемещении был упакован не силами Исполнителя или не был упакован вовсе. За исключением случаев нанесения Исполнителем прямого действительного ущерба грузам, как падение груза при перемещении из рук Исполнителя и умышленная порча груза - в таких случаях Исполнитель несет полную материальную ответственность за перемещаемый груз.</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6.8. В случаях выявления Заказчиком недостатков в оказанных услугах и последующем устранении Исполнителем таких выявленных недостатков в сроки удовлетворяющие обе Стороны, или, если такой недостаток возник не по вине Исполнителя, то данный факт не является нарушением обязательств Исполнителем по Договору.</w:t>
      </w:r>
    </w:p>
    <w:p>
      <w:pPr>
        <w:pStyle w:val="Normal"/>
        <w:tabs>
          <w:tab w:val="clear" w:pos="720"/>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6.9.     В случае найма Заказчиком сотрудников Исполнителя в нарушении условий Договора (с помощью заключения трудового договора или договора гражданско-правового характера), Заказчик выплачивает Исполнителю компенсацию в размере 100 000 (ста тысяч) рублей в течение 10 дней с момента получения соответствующего требования.</w:t>
      </w:r>
    </w:p>
    <w:p>
      <w:pPr>
        <w:pStyle w:val="Normal"/>
        <w:tabs>
          <w:tab w:val="clear" w:pos="720"/>
          <w:tab w:val="left" w:pos="0"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3"/>
        </w:numPr>
        <w:pBdr/>
        <w:tabs>
          <w:tab w:val="clear" w:pos="720"/>
          <w:tab w:val="left" w:pos="0" w:leader="none"/>
        </w:tabs>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ФОРС-МАЖОР</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доказательство которых ложится на сторону, которая на них ссылается.</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Сторона, для которой создалась невозможность исполнения обязательств по настоящему Договору, обязана в течение 3 (Трех) календарных дней известить другую сторону о наступлении или прекращении действия вышеуказанных обстоятельств.</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Если эти обстоятельства будут продолжаться более 3 (Трех) календарных дней, то каждая из сторон будет вправе отказаться от дальнейшего исполнения обязательств по настоящему Договору. В этом случае ни одна из сторон не будет иметь право требовать от другой стороны возмещения причиненных убытков. </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numPr>
          <w:ilvl w:val="0"/>
          <w:numId w:val="3"/>
        </w:numPr>
        <w:pBdr/>
        <w:tabs>
          <w:tab w:val="clear" w:pos="720"/>
          <w:tab w:val="left" w:pos="709" w:leader="none"/>
          <w:tab w:val="left" w:pos="851" w:leader="none"/>
        </w:tabs>
        <w:spacing w:lineRule="auto" w:line="240" w:before="0" w:after="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 xml:space="preserve">КОНФИДЕНЦИАЛЬНОСТЬ И ЗАЩИТА ПЕРСОНАЛЬНЫХ ДАННЫХ </w:t>
      </w:r>
    </w:p>
    <w:p>
      <w:pPr>
        <w:pStyle w:val="Normal"/>
        <w:numPr>
          <w:ilvl w:val="1"/>
          <w:numId w:val="1"/>
        </w:numPr>
        <w:pBdr/>
        <w:tabs>
          <w:tab w:val="clear" w:pos="720"/>
          <w:tab w:val="left" w:pos="0" w:leader="none"/>
          <w:tab w:val="left" w:pos="851"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Стороны рассматривают условия настоящего Договора как конфиденциальную информацию и обязуются не раскрывать без предварительного согласия другой Стороны третьим лицам информацию, полученную от другой Стороны в связи с исполнением Договора. Стороны обязуются не разглашать сведения, связанные с оплатой услуг по настоящему договору, признаваемые сторонами коммерческой тайной.</w:t>
      </w:r>
    </w:p>
    <w:p>
      <w:pPr>
        <w:pStyle w:val="Normal"/>
        <w:numPr>
          <w:ilvl w:val="1"/>
          <w:numId w:val="1"/>
        </w:numPr>
        <w:pBdr/>
        <w:tabs>
          <w:tab w:val="clear" w:pos="720"/>
          <w:tab w:val="left" w:pos="0" w:leader="none"/>
          <w:tab w:val="left" w:pos="851"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Без ущерба для положений п. 8.1. настоящего Договора оказание Исполнителем услуг Заказчику не может являться основанием для ограничения прав Исполнителя на оказание подобных или иных услуг прямым или косвенным конкурентам Заказчика.</w:t>
      </w:r>
    </w:p>
    <w:p>
      <w:pPr>
        <w:pStyle w:val="Normal"/>
        <w:numPr>
          <w:ilvl w:val="1"/>
          <w:numId w:val="1"/>
        </w:numPr>
        <w:pBdr/>
        <w:tabs>
          <w:tab w:val="clear" w:pos="720"/>
          <w:tab w:val="left" w:pos="0" w:leader="none"/>
          <w:tab w:val="left" w:pos="851"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случае, если в ходе выполнения обязательств по Договору Заказчику предоставляется доступ или иным способом становятся известными персональные данные третьих лиц с которыми Исполнитель заключил Договор субподряда и/или иных физических лиц, связанных с Исполнителем (далее совместно именуемые – "Субъекты персональных данных Исполнителя"), Заказчик:</w:t>
      </w:r>
    </w:p>
    <w:p>
      <w:pPr>
        <w:pStyle w:val="Normal"/>
        <w:tabs>
          <w:tab w:val="clear" w:pos="720"/>
          <w:tab w:val="left" w:pos="0" w:leader="none"/>
        </w:tabs>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Заказчик обязуется обеспечить обработку персональных данных Субъектов персональных данных Исполнителя с соблюдением всех применимых требований законодательства Российской Федерации в области защиты персональных данных, в том числе с соблюдением принципов, требований, обязательств операторов персональных данных, установленных Федеральным законом РФ «О персональных данных» и иными применимыми нормативными актами.</w:t>
      </w:r>
    </w:p>
    <w:p>
      <w:pPr>
        <w:pStyle w:val="Normal"/>
        <w:tabs>
          <w:tab w:val="clear" w:pos="720"/>
          <w:tab w:val="left" w:pos="0" w:leader="none"/>
        </w:tabs>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3"/>
        </w:numPr>
        <w:pBdr/>
        <w:tabs>
          <w:tab w:val="clear" w:pos="720"/>
          <w:tab w:val="left" w:pos="0" w:leader="none"/>
        </w:tabs>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ИЗМЕНЕНИЕ И РАСТОРЖЕНИЕ ДОГОВОРА.</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color w:val="000000"/>
          <w:sz w:val="24"/>
          <w:szCs w:val="24"/>
        </w:rPr>
        <w:t>Договор может быть расторгнут по инициативе одной из сторон досрочно. Сторона сообщает об этом другой Стороне письменно не менее чем за 30 (Тридцать) календарных дней до даты расторжения Договора. При этом Стороны обязаны осуществить все расчеты по обязательствам, возникшим до расторжения Договора, не позднее одного месяца со дня его расторжения. Расторжение Договора или окончание срока действия Договора не освобождает Стороны от окончательного выполнения финансовых обязательств, друг перед другом.</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Договор может быть досрочно расторгнут любой из Сторон при существенном изменении обстоятельств и/или систематическом неисполнении условий Договора с уведомлением об этом другой Стороны за 5 (Пять) календарных дней.</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случае одностороннего отказа Исполнителя от исполнения Договора, Исполнитель обязан сдать результат фактически оказанных услуг Заказчику по УПД, а Заказчик обязан принять их и оплатить.</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Настоящий Договор вступает в силу в день его подписания и действует бессрочно, пока одна из сторон письменно не заявит о своём намерении расторгнуть настоящий Договор не позднее, чем за 30 (Тридцать) календарных дней до окончания срока действия настоящего Договора.</w:t>
      </w:r>
    </w:p>
    <w:p>
      <w:pPr>
        <w:pStyle w:val="Normal"/>
        <w:pBdr/>
        <w:tabs>
          <w:tab w:val="clear" w:pos="720"/>
          <w:tab w:val="left" w:pos="0" w:leader="none"/>
        </w:tabs>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numPr>
          <w:ilvl w:val="0"/>
          <w:numId w:val="3"/>
        </w:numPr>
        <w:pBdr/>
        <w:tabs>
          <w:tab w:val="clear" w:pos="720"/>
          <w:tab w:val="left" w:pos="709" w:leader="none"/>
          <w:tab w:val="left" w:pos="851" w:leader="none"/>
        </w:tabs>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ЗАКЛЮЧИТЕЛЬНЫЕ ПОЛОЖЕНИЯ</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случае, если уполномоченные лица Сторон меняются (изменяются) по каким-либо причинам, Стороны письменно извещают друг друга о таких обстоятельствах, оформляет на таких лиц  доверенности/приказ в установленном Договором и Законом порядке и предоставляет соответствующие экземпляры таких доверенностей/приказов на новых  лиц  в течение трех календарных дней с момента назначения новых уполномоченных лиц по настоящему Договору.</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За все последствия несвоевременного или ненадлежащего оформления (или не оформления) доверенностей/приказов на уполномоченных лиц Сторон по Договору ответственность несет не исполнившее данное требование Сторона.</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Договор остается в силе в случае изменения реквизитов Сторон, изменения их учредительных документов, включая, но не ограничиваясь, изменением собственника, организационно-правовой формы и др. В случае изменения реквизитов Стороны обязаны в течение 3 (Трех) рабочих дней с момента внесения таких изменений уведомить об этом друг друга. </w:t>
      </w:r>
    </w:p>
    <w:p>
      <w:pPr>
        <w:pStyle w:val="Normal"/>
        <w:numPr>
          <w:ilvl w:val="0"/>
          <w:numId w:val="3"/>
        </w:numPr>
        <w:tabs>
          <w:tab w:val="clear" w:pos="720"/>
          <w:tab w:val="left" w:pos="709" w:leader="none"/>
          <w:tab w:val="left" w:pos="851" w:leader="none"/>
        </w:tabs>
        <w:spacing w:lineRule="auto" w:line="240" w:before="0" w:after="0"/>
        <w:ind w:left="0" w:firstLine="284"/>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ПРОЧИЕ УСЛОВИЯ</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Все споры, возникающие из настоящего Договора, при их неурегулировании в претензионном порядке (путем направления письменной претензии) передаются на рассмотрение суда в соответствии с процессуальным законодательством Российской Федерации в Арбитражном суде города Москвы, с обязательным соблюдением претензионного порядка урегулирования споров. Срок ответа на претензию – 10 рабочих дней с момента доставки конверта в почтовое отделение по адресу получателя независимо от получения или неполучения конверта. </w:t>
      </w:r>
    </w:p>
    <w:p>
      <w:pPr>
        <w:pStyle w:val="Normal"/>
        <w:numPr>
          <w:ilvl w:val="1"/>
          <w:numId w:val="3"/>
        </w:numPr>
        <w:pBdr/>
        <w:tabs>
          <w:tab w:val="clear" w:pos="720"/>
          <w:tab w:val="left" w:pos="0" w:leader="none"/>
        </w:tabs>
        <w:spacing w:lineRule="auto" w:line="240" w:before="0" w:after="0"/>
        <w:ind w:left="0"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Неотъемлемой частью настоящего договора являются следующие приложения:</w:t>
      </w:r>
    </w:p>
    <w:p>
      <w:pPr>
        <w:pStyle w:val="Normal"/>
        <w:tabs>
          <w:tab w:val="clear" w:pos="720"/>
          <w:tab w:val="left" w:pos="284" w:leader="none"/>
          <w:tab w:val="left" w:pos="993" w:leader="none"/>
        </w:tabs>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Приложение № 1 – </w:t>
      </w:r>
      <w:r>
        <w:rPr>
          <w:rFonts w:eastAsia="Times New Roman" w:cs="Times New Roman" w:ascii="Times New Roman" w:hAnsi="Times New Roman"/>
          <w:color w:val="000000"/>
          <w:sz w:val="24"/>
          <w:szCs w:val="24"/>
          <w:highlight w:val="white"/>
        </w:rPr>
        <w:t>Цена и Виды оказываемых услуг</w:t>
      </w:r>
    </w:p>
    <w:p>
      <w:pPr>
        <w:pStyle w:val="Normal"/>
        <w:tabs>
          <w:tab w:val="clear" w:pos="720"/>
          <w:tab w:val="left" w:pos="284" w:leader="none"/>
          <w:tab w:val="left" w:pos="993" w:leader="none"/>
        </w:tabs>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Приложение № 2 – Образец – Заявка на оказание услуг</w:t>
      </w:r>
    </w:p>
    <w:p>
      <w:pPr>
        <w:pStyle w:val="Normal"/>
        <w:tabs>
          <w:tab w:val="clear" w:pos="720"/>
          <w:tab w:val="left" w:pos="284" w:leader="none"/>
          <w:tab w:val="left" w:pos="993" w:leader="none"/>
        </w:tabs>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Приложение № 3 – Образец – Лист учета услуг</w:t>
      </w:r>
    </w:p>
    <w:p>
      <w:pPr>
        <w:pStyle w:val="Normal"/>
        <w:tabs>
          <w:tab w:val="clear" w:pos="720"/>
          <w:tab w:val="left" w:pos="709" w:leader="none"/>
          <w:tab w:val="left" w:pos="851"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3"/>
        </w:numPr>
        <w:tabs>
          <w:tab w:val="clear" w:pos="720"/>
          <w:tab w:val="left" w:pos="709" w:leader="none"/>
          <w:tab w:val="left" w:pos="851" w:leader="none"/>
        </w:tabs>
        <w:spacing w:lineRule="auto" w:line="240" w:before="0" w:after="0"/>
        <w:ind w:left="0" w:firstLine="284"/>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АДРЕСА И РЕКВИЗИТЫ СТОРОН</w:t>
      </w:r>
    </w:p>
    <w:tbl>
      <w:tblPr>
        <w:tblStyle w:val="StGen0"/>
        <w:tblW w:w="9571" w:type="dxa"/>
        <w:jc w:val="left"/>
        <w:tblInd w:w="0" w:type="dxa"/>
        <w:tblCellMar>
          <w:top w:w="0" w:type="dxa"/>
          <w:left w:w="108" w:type="dxa"/>
          <w:bottom w:w="0" w:type="dxa"/>
          <w:right w:w="108" w:type="dxa"/>
        </w:tblCellMar>
        <w:tblLook w:firstRow="0" w:noVBand="1" w:lastRow="0" w:firstColumn="0" w:lastColumn="0" w:noHBand="0" w:val="0400"/>
      </w:tblPr>
      <w:tblGrid>
        <w:gridCol w:w="4785"/>
        <w:gridCol w:w="4785"/>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ИСПОЛНИТЕЛЬ</w:t>
            </w:r>
          </w:p>
        </w:tc>
        <w:tc>
          <w:tcPr>
            <w:tcW w:w="47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ЗАКАЗЧИК</w:t>
            </w:r>
          </w:p>
        </w:tc>
      </w:tr>
      <w:tr>
        <w:trPr/>
        <w:tc>
          <w:tcPr>
            <w:tcW w:w="47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lang w:val="en-US"/>
              </w:rPr>
              <w:t>Общество с ограниченной ответственностью</w:t>
            </w:r>
            <w:r>
              <w:rPr>
                <w:rFonts w:eastAsia="Times New Roman" w:cs="Times New Roman" w:ascii="Times New Roman" w:hAnsi="Times New Roman"/>
                <w:b/>
                <w:sz w:val="24"/>
                <w:szCs w:val="24"/>
              </w:rPr>
              <w:t xml:space="preserve"> </w:t>
            </w:r>
          </w:p>
          <w:p>
            <w:pPr>
              <w:pStyle w:val="Normal"/>
              <w:spacing w:lineRule="auto" w:line="240" w:before="0" w:after="0"/>
              <w:jc w:val="center"/>
              <w:rPr>
                <w:rFonts w:ascii="Times New Roman" w:hAnsi="Times New Roman" w:eastAsia="Times New Roman" w:cs="Times New Roman"/>
                <w:b/>
                <w:b/>
                <w:sz w:val="24"/>
                <w:szCs w:val="24"/>
                <w:lang w:val="en-US"/>
              </w:rPr>
            </w:pPr>
            <w:r>
              <w:rPr>
                <w:rFonts w:eastAsia="Times New Roman" w:cs="Times New Roman" w:ascii="Times New Roman" w:hAnsi="Times New Roman"/>
                <w:b/>
                <w:sz w:val="24"/>
                <w:szCs w:val="24"/>
                <w:lang w:val="en-US"/>
              </w:rPr>
              <w:t>«ДЖИ ПИ ЭМ»</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rPr>
              <w:t>Юридический адрес:</w:t>
            </w:r>
            <w:r>
              <w:rPr>
                <w:rFonts w:eastAsia="Times New Roman" w:cs="Times New Roman" w:ascii="Times New Roman" w:hAnsi="Times New Roman"/>
                <w:sz w:val="24"/>
                <w:szCs w:val="24"/>
              </w:rPr>
              <w:t xml:space="preserve"> 197374, Россия, Г. Санкт-Петербург, Вн.Тер.Г. Муниципальный Округ Озеро Долгое, Торфяная Дор., Д. 7, Литера А, Офис 606, Помещ. 7</w:t>
            </w:r>
            <w:r>
              <w:rPr>
                <w:rFonts w:eastAsia="Times New Roman" w:cs="Times New Roman" w:ascii="Times New Roman" w:hAnsi="Times New Roman"/>
                <w:sz w:val="24"/>
                <w:szCs w:val="24"/>
                <w:lang w:val="en-US"/>
              </w:rPr>
              <w:t>H</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rPr>
              <w:t>Почтовый адрес</w:t>
            </w:r>
            <w:r>
              <w:rPr>
                <w:rFonts w:eastAsia="Times New Roman" w:cs="Times New Roman" w:ascii="Times New Roman" w:hAnsi="Times New Roman"/>
                <w:sz w:val="24"/>
                <w:szCs w:val="24"/>
              </w:rPr>
              <w:t>: 105318, Россия, Г. Москва, Семеновская Пл., 7, Офис 327, А/Я 19</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rPr>
              <w:t>ИНН:</w:t>
            </w:r>
            <w:r>
              <w:rPr>
                <w:rFonts w:eastAsia="Times New Roman" w:cs="Times New Roman" w:ascii="Times New Roman" w:hAnsi="Times New Roman"/>
                <w:sz w:val="24"/>
                <w:szCs w:val="24"/>
              </w:rPr>
              <w:t xml:space="preserve"> 7814752066</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rPr>
              <w:t>КПП:</w:t>
            </w:r>
            <w:r>
              <w:rPr>
                <w:rFonts w:eastAsia="Times New Roman" w:cs="Times New Roman" w:ascii="Times New Roman" w:hAnsi="Times New Roman"/>
                <w:sz w:val="24"/>
                <w:szCs w:val="24"/>
              </w:rPr>
              <w:t xml:space="preserve"> 781401001</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rPr>
              <w:t>ОГРН:</w:t>
            </w:r>
            <w:r>
              <w:rPr>
                <w:rFonts w:eastAsia="Times New Roman" w:cs="Times New Roman" w:ascii="Times New Roman" w:hAnsi="Times New Roman"/>
                <w:sz w:val="24"/>
                <w:szCs w:val="24"/>
              </w:rPr>
              <w:t xml:space="preserve"> 1197847020645</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rPr>
              <w:t>Р/с:</w:t>
            </w:r>
            <w:r>
              <w:rPr>
                <w:rFonts w:eastAsia="Times New Roman" w:cs="Times New Roman" w:ascii="Times New Roman" w:hAnsi="Times New Roman"/>
                <w:sz w:val="24"/>
                <w:szCs w:val="24"/>
              </w:rPr>
              <w:t xml:space="preserve"> 40702810803500021620</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rPr>
              <w:t>К/</w:t>
            </w:r>
            <w:r>
              <w:rPr>
                <w:rFonts w:eastAsia="Times New Roman" w:cs="Times New Roman" w:ascii="Times New Roman" w:hAnsi="Times New Roman"/>
                <w:b/>
                <w:sz w:val="24"/>
                <w:szCs w:val="24"/>
                <w:lang w:val="en-US"/>
              </w:rPr>
              <w:t>c</w:t>
            </w:r>
            <w:r>
              <w:rPr>
                <w:rFonts w:eastAsia="Times New Roman" w:cs="Times New Roman" w:ascii="Times New Roman" w:hAnsi="Times New Roman"/>
                <w:b/>
                <w:sz w:val="24"/>
                <w:szCs w:val="24"/>
              </w:rPr>
              <w:t>:</w:t>
            </w:r>
            <w:r>
              <w:rPr>
                <w:rFonts w:eastAsia="Times New Roman" w:cs="Times New Roman" w:ascii="Times New Roman" w:hAnsi="Times New Roman"/>
                <w:sz w:val="24"/>
                <w:szCs w:val="24"/>
              </w:rPr>
              <w:t xml:space="preserve"> 30101810845250000999</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rPr>
              <w:t>БИК банка:</w:t>
            </w:r>
            <w:r>
              <w:rPr>
                <w:rFonts w:eastAsia="Times New Roman" w:cs="Times New Roman" w:ascii="Times New Roman" w:hAnsi="Times New Roman"/>
                <w:sz w:val="24"/>
                <w:szCs w:val="24"/>
              </w:rPr>
              <w:t xml:space="preserve"> 044525999</w:t>
            </w:r>
          </w:p>
          <w:p>
            <w:pPr>
              <w:pStyle w:val="Normal"/>
              <w:spacing w:lineRule="auto" w:line="240" w:before="0" w:after="0"/>
              <w:rPr>
                <w:sz w:val="24"/>
                <w:szCs w:val="24"/>
              </w:rPr>
            </w:pPr>
            <w:r>
              <w:drawing>
                <wp:anchor behindDoc="1" distT="0" distB="0" distL="0" distR="0" simplePos="0" locked="0" layoutInCell="1" allowOverlap="1" relativeHeight="3">
                  <wp:simplePos x="0" y="0"/>
                  <wp:positionH relativeFrom="column">
                    <wp:posOffset>1263015</wp:posOffset>
                  </wp:positionH>
                  <wp:positionV relativeFrom="paragraph">
                    <wp:posOffset>132715</wp:posOffset>
                  </wp:positionV>
                  <wp:extent cx="1905000" cy="1905000"/>
                  <wp:effectExtent l="0" t="0" r="0" b="0"/>
                  <wp:wrapNone/>
                  <wp:docPr id="1"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
                          <pic:cNvPicPr>
                            <a:picLocks noChangeAspect="1" noChangeArrowheads="1"/>
                          </pic:cNvPicPr>
                        </pic:nvPicPr>
                        <pic:blipFill>
                          <a:blip r:embed="rId2"/>
                          <a:stretch>
                            <a:fillRect/>
                          </a:stretch>
                        </pic:blipFill>
                        <pic:spPr bwMode="auto">
                          <a:xfrm>
                            <a:off x="0" y="0"/>
                            <a:ext cx="1905000" cy="1905000"/>
                          </a:xfrm>
                          <a:prstGeom prst="rect">
                            <a:avLst/>
                          </a:prstGeom>
                        </pic:spPr>
                      </pic:pic>
                    </a:graphicData>
                  </a:graphic>
                </wp:anchor>
              </w:drawing>
            </w:r>
            <w:r>
              <w:rPr>
                <w:rFonts w:eastAsia="Times New Roman" w:cs="Times New Roman" w:ascii="Times New Roman" w:hAnsi="Times New Roman"/>
                <w:b/>
                <w:sz w:val="24"/>
                <w:szCs w:val="24"/>
              </w:rPr>
              <w:t>Б</w:t>
            </w:r>
            <w:r>
              <w:rPr>
                <w:rFonts w:eastAsia="Times New Roman" w:cs="Times New Roman" w:ascii="Times New Roman" w:hAnsi="Times New Roman"/>
                <w:b/>
                <w:sz w:val="24"/>
                <w:szCs w:val="24"/>
              </w:rPr>
              <w:t>анк:</w:t>
            </w:r>
            <w:r>
              <w:rPr>
                <w:rFonts w:eastAsia="Times New Roman" w:cs="Times New Roman" w:ascii="Times New Roman" w:hAnsi="Times New Roman"/>
                <w:sz w:val="24"/>
                <w:szCs w:val="24"/>
              </w:rPr>
              <w:t xml:space="preserve"> ТОЧКА ПАО БАНКА "ФК ОТКРЫТИЕ"</w:t>
            </w:r>
          </w:p>
        </w:tc>
        <w:tc>
          <w:tcPr>
            <w:tcW w:w="47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b/>
                <w:b/>
                <w:sz w:val="24"/>
                <w:szCs w:val="24"/>
              </w:rPr>
            </w:pPr>
            <w:r>
              <w:rPr>
                <w:b/>
                <w:sz w:val="24"/>
                <w:szCs w:val="24"/>
              </w:rPr>
            </w:r>
          </w:p>
          <w:p>
            <w:pPr>
              <w:pStyle w:val="Normal"/>
              <w:spacing w:lineRule="auto" w:line="240" w:before="0" w:after="0"/>
              <w:rPr>
                <w:sz w:val="24"/>
                <w:szCs w:val="24"/>
                <w:lang w:val="en-US"/>
              </w:rPr>
            </w:pPr>
            <w:bookmarkStart w:id="0" w:name="_GoBack"/>
            <w:bookmarkEnd w:id="0"/>
            <w:r>
              <w:rPr>
                <w:b/>
                <w:sz w:val="24"/>
                <w:szCs w:val="24"/>
              </w:rPr>
              <w:t>Юридический</w:t>
            </w:r>
            <w:r>
              <w:rPr>
                <w:b/>
                <w:sz w:val="24"/>
                <w:szCs w:val="24"/>
                <w:lang w:val="en-US"/>
              </w:rPr>
              <w:t xml:space="preserve"> </w:t>
            </w:r>
            <w:r>
              <w:rPr>
                <w:b/>
                <w:sz w:val="24"/>
                <w:szCs w:val="24"/>
              </w:rPr>
              <w:t>адрес</w:t>
            </w:r>
            <w:r>
              <w:rPr>
                <w:b/>
                <w:sz w:val="24"/>
                <w:szCs w:val="24"/>
                <w:lang w:val="en-US"/>
              </w:rPr>
              <w:t xml:space="preserve">: </w:t>
            </w:r>
          </w:p>
          <w:p>
            <w:pPr>
              <w:pStyle w:val="Normal"/>
              <w:spacing w:lineRule="auto" w:line="240" w:before="0" w:after="0"/>
              <w:rPr>
                <w:sz w:val="24"/>
                <w:szCs w:val="24"/>
                <w:lang w:val="en-US"/>
              </w:rPr>
            </w:pPr>
            <w:r>
              <w:rPr>
                <w:b/>
                <w:sz w:val="24"/>
                <w:szCs w:val="24"/>
              </w:rPr>
              <w:t>Почтовый</w:t>
            </w:r>
            <w:r>
              <w:rPr>
                <w:b/>
                <w:sz w:val="24"/>
                <w:szCs w:val="24"/>
                <w:lang w:val="en-US"/>
              </w:rPr>
              <w:t xml:space="preserve"> </w:t>
            </w:r>
            <w:r>
              <w:rPr>
                <w:b/>
                <w:sz w:val="24"/>
                <w:szCs w:val="24"/>
              </w:rPr>
              <w:t>адрес</w:t>
            </w:r>
            <w:r>
              <w:rPr>
                <w:b/>
                <w:sz w:val="24"/>
                <w:szCs w:val="24"/>
                <w:lang w:val="en-US"/>
              </w:rPr>
              <w:t xml:space="preserve">: </w:t>
            </w:r>
          </w:p>
          <w:p>
            <w:pPr>
              <w:pStyle w:val="Normal"/>
              <w:spacing w:lineRule="auto" w:line="240" w:before="0" w:after="0"/>
              <w:rPr>
                <w:sz w:val="24"/>
                <w:szCs w:val="24"/>
                <w:lang w:val="en-US"/>
              </w:rPr>
            </w:pPr>
            <w:r>
              <w:rPr>
                <w:b/>
                <w:sz w:val="24"/>
                <w:szCs w:val="24"/>
              </w:rPr>
              <w:t>ИНН</w:t>
            </w:r>
            <w:r>
              <w:rPr>
                <w:b/>
                <w:sz w:val="24"/>
                <w:szCs w:val="24"/>
                <w:lang w:val="en-US"/>
              </w:rPr>
              <w:t>:</w:t>
            </w:r>
            <w:r>
              <w:rPr>
                <w:sz w:val="24"/>
                <w:szCs w:val="24"/>
                <w:lang w:val="en-US"/>
              </w:rPr>
              <w:t xml:space="preserve"> </w:t>
            </w:r>
          </w:p>
          <w:p>
            <w:pPr>
              <w:pStyle w:val="Normal"/>
              <w:spacing w:lineRule="auto" w:line="240" w:before="0" w:after="0"/>
              <w:rPr>
                <w:sz w:val="24"/>
                <w:szCs w:val="24"/>
                <w:lang w:val="en-US"/>
              </w:rPr>
            </w:pPr>
            <w:r>
              <w:rPr>
                <w:b/>
                <w:sz w:val="24"/>
                <w:szCs w:val="24"/>
              </w:rPr>
              <w:t>КПП</w:t>
            </w:r>
            <w:r>
              <w:rPr>
                <w:b/>
                <w:sz w:val="24"/>
                <w:szCs w:val="24"/>
                <w:lang w:val="en-US"/>
              </w:rPr>
              <w:t>:</w:t>
            </w:r>
            <w:r>
              <w:rPr>
                <w:sz w:val="24"/>
                <w:szCs w:val="24"/>
                <w:lang w:val="en-US"/>
              </w:rPr>
              <w:t xml:space="preserve"> </w:t>
            </w:r>
          </w:p>
          <w:p>
            <w:pPr>
              <w:pStyle w:val="Normal"/>
              <w:spacing w:lineRule="auto" w:line="240" w:before="0" w:after="0"/>
              <w:rPr>
                <w:sz w:val="24"/>
                <w:szCs w:val="24"/>
                <w:lang w:val="en-US"/>
              </w:rPr>
            </w:pPr>
            <w:r>
              <w:rPr>
                <w:b/>
                <w:sz w:val="24"/>
                <w:szCs w:val="24"/>
              </w:rPr>
              <w:t>ОГРН</w:t>
            </w:r>
            <w:r>
              <w:rPr>
                <w:b/>
                <w:sz w:val="24"/>
                <w:szCs w:val="24"/>
                <w:lang w:val="en-US"/>
              </w:rPr>
              <w:t>:</w:t>
            </w:r>
            <w:r>
              <w:rPr>
                <w:sz w:val="24"/>
                <w:szCs w:val="24"/>
                <w:lang w:val="en-US"/>
              </w:rPr>
              <w:t xml:space="preserve"> </w:t>
            </w:r>
          </w:p>
          <w:p>
            <w:pPr>
              <w:pStyle w:val="Normal"/>
              <w:spacing w:lineRule="auto" w:line="240" w:before="0" w:after="0"/>
              <w:rPr>
                <w:sz w:val="24"/>
                <w:szCs w:val="24"/>
                <w:lang w:val="en-US"/>
              </w:rPr>
            </w:pPr>
            <w:r>
              <w:rPr>
                <w:b/>
                <w:sz w:val="24"/>
                <w:szCs w:val="24"/>
              </w:rPr>
              <w:t>Р</w:t>
            </w:r>
            <w:r>
              <w:rPr>
                <w:b/>
                <w:sz w:val="24"/>
                <w:szCs w:val="24"/>
                <w:lang w:val="en-US"/>
              </w:rPr>
              <w:t>/</w:t>
            </w:r>
            <w:r>
              <w:rPr>
                <w:b/>
                <w:sz w:val="24"/>
                <w:szCs w:val="24"/>
              </w:rPr>
              <w:t>с</w:t>
            </w:r>
            <w:r>
              <w:rPr>
                <w:b/>
                <w:sz w:val="24"/>
                <w:szCs w:val="24"/>
                <w:lang w:val="en-US"/>
              </w:rPr>
              <w:t xml:space="preserve">: </w:t>
            </w:r>
          </w:p>
          <w:p>
            <w:pPr>
              <w:pStyle w:val="Normal"/>
              <w:spacing w:lineRule="auto" w:line="240" w:before="0" w:after="0"/>
              <w:rPr>
                <w:sz w:val="24"/>
                <w:szCs w:val="24"/>
                <w:lang w:val="en-US"/>
              </w:rPr>
            </w:pPr>
            <w:r>
              <w:rPr>
                <w:b/>
                <w:sz w:val="24"/>
                <w:szCs w:val="24"/>
              </w:rPr>
              <w:t>К</w:t>
            </w:r>
            <w:r>
              <w:rPr>
                <w:b/>
                <w:sz w:val="24"/>
                <w:szCs w:val="24"/>
                <w:lang w:val="en-US"/>
              </w:rPr>
              <w:t>/</w:t>
            </w:r>
            <w:r>
              <w:rPr>
                <w:b/>
                <w:sz w:val="24"/>
                <w:szCs w:val="24"/>
              </w:rPr>
              <w:t>с</w:t>
            </w:r>
            <w:r>
              <w:rPr>
                <w:b/>
                <w:sz w:val="24"/>
                <w:szCs w:val="24"/>
                <w:lang w:val="en-US"/>
              </w:rPr>
              <w:t xml:space="preserve">: </w:t>
            </w:r>
          </w:p>
          <w:p>
            <w:pPr>
              <w:pStyle w:val="Normal"/>
              <w:spacing w:lineRule="auto" w:line="240" w:before="0" w:after="0"/>
              <w:rPr>
                <w:sz w:val="24"/>
                <w:szCs w:val="24"/>
                <w:lang w:val="en-US"/>
              </w:rPr>
            </w:pPr>
            <w:r>
              <w:rPr>
                <w:b/>
                <w:sz w:val="24"/>
                <w:szCs w:val="24"/>
              </w:rPr>
              <w:t>БИК</w:t>
            </w:r>
            <w:r>
              <w:rPr>
                <w:b/>
                <w:sz w:val="24"/>
                <w:szCs w:val="24"/>
                <w:lang w:val="en-US"/>
              </w:rPr>
              <w:t xml:space="preserve"> </w:t>
            </w:r>
            <w:r>
              <w:rPr>
                <w:b/>
                <w:sz w:val="24"/>
                <w:szCs w:val="24"/>
              </w:rPr>
              <w:t>банка</w:t>
            </w:r>
            <w:r>
              <w:rPr>
                <w:b/>
                <w:sz w:val="24"/>
                <w:szCs w:val="24"/>
                <w:lang w:val="en-US"/>
              </w:rPr>
              <w:t xml:space="preserve">: </w:t>
            </w:r>
          </w:p>
          <w:p>
            <w:pPr>
              <w:pStyle w:val="Normal"/>
              <w:spacing w:lineRule="auto" w:line="240" w:before="0" w:after="0"/>
              <w:rPr>
                <w:b/>
                <w:b/>
                <w:sz w:val="24"/>
                <w:szCs w:val="24"/>
                <w:lang w:val="en-US"/>
              </w:rPr>
            </w:pPr>
            <w:r>
              <w:rPr>
                <w:b/>
                <w:sz w:val="24"/>
                <w:szCs w:val="24"/>
              </w:rPr>
              <w:t>Банк</w:t>
            </w:r>
            <w:r>
              <w:rPr>
                <w:b/>
                <w:sz w:val="24"/>
                <w:szCs w:val="24"/>
                <w:lang w:val="en-US"/>
              </w:rPr>
              <w:t>:</w:t>
            </w:r>
            <w:r>
              <w:rPr>
                <w:sz w:val="24"/>
                <w:szCs w:val="24"/>
                <w:lang w:val="en-US"/>
              </w:rPr>
              <w:t xml:space="preserve"> </w:t>
            </w:r>
          </w:p>
        </w:tc>
      </w:tr>
    </w:tbl>
    <w:p>
      <w:pPr>
        <w:pStyle w:val="Normal"/>
        <w:widowControl w:val="false"/>
        <w:pBdr/>
        <w:spacing w:lineRule="auto" w:line="240" w:before="0" w:after="0"/>
        <w:jc w:val="both"/>
        <w:rPr>
          <w:rFonts w:ascii="Arial" w:hAnsi="Arial" w:eastAsia="Arial" w:cs="Arial"/>
          <w:color w:val="000000"/>
          <w:sz w:val="25"/>
          <w:szCs w:val="25"/>
          <w:lang w:val="en-US"/>
        </w:rPr>
      </w:pPr>
      <w:r>
        <w:rPr>
          <w:rFonts w:eastAsia="Arial" w:cs="Arial" w:ascii="Arial" w:hAnsi="Arial"/>
          <w:color w:val="000000"/>
          <w:sz w:val="25"/>
          <w:szCs w:val="25"/>
          <w:lang w:val="en-US"/>
        </w:rPr>
        <w:drawing>
          <wp:anchor behindDoc="1" distT="0" distB="0" distL="0" distR="0" simplePos="0" locked="0" layoutInCell="1" allowOverlap="1" relativeHeight="2">
            <wp:simplePos x="0" y="0"/>
            <wp:positionH relativeFrom="column">
              <wp:posOffset>-22860</wp:posOffset>
            </wp:positionH>
            <wp:positionV relativeFrom="paragraph">
              <wp:posOffset>132080</wp:posOffset>
            </wp:positionV>
            <wp:extent cx="1028700" cy="809625"/>
            <wp:effectExtent l="0" t="0" r="0" b="0"/>
            <wp:wrapNone/>
            <wp:docPr id="2"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pic:cNvPicPr>
                      <a:picLocks noChangeAspect="1" noChangeArrowheads="1"/>
                    </pic:cNvPicPr>
                  </pic:nvPicPr>
                  <pic:blipFill>
                    <a:blip r:embed="rId3"/>
                    <a:srcRect l="0" t="0" r="20253" b="0"/>
                    <a:stretch>
                      <a:fillRect/>
                    </a:stretch>
                  </pic:blipFill>
                  <pic:spPr bwMode="auto">
                    <a:xfrm>
                      <a:off x="0" y="0"/>
                      <a:ext cx="1028700" cy="809625"/>
                    </a:xfrm>
                    <a:prstGeom prst="rect">
                      <a:avLst/>
                    </a:prstGeom>
                  </pic:spPr>
                </pic:pic>
              </a:graphicData>
            </a:graphic>
          </wp:anchor>
        </w:drawing>
      </w:r>
    </w:p>
    <w:p>
      <w:pPr>
        <w:pStyle w:val="Normal"/>
        <w:spacing w:lineRule="auto" w:line="240" w:before="0" w:after="0"/>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rPr>
        <w:t>Генеральный</w:t>
      </w:r>
      <w:r>
        <w:rPr>
          <w:rFonts w:eastAsia="Times New Roman" w:cs="Times New Roman" w:ascii="Times New Roman" w:hAnsi="Times New Roman"/>
          <w:sz w:val="24"/>
          <w:szCs w:val="24"/>
          <w:lang w:val="en-US"/>
        </w:rPr>
        <w:t xml:space="preserve"> </w:t>
      </w:r>
      <w:r>
        <w:rPr>
          <w:rFonts w:eastAsia="Times New Roman" w:cs="Times New Roman" w:ascii="Times New Roman" w:hAnsi="Times New Roman"/>
          <w:sz w:val="24"/>
          <w:szCs w:val="24"/>
        </w:rPr>
        <w:t>директор</w:t>
      </w:r>
      <w:r>
        <w:rPr>
          <w:rFonts w:eastAsia="Times New Roman" w:cs="Times New Roman" w:ascii="Times New Roman" w:hAnsi="Times New Roman"/>
          <w:sz w:val="24"/>
          <w:szCs w:val="24"/>
          <w:lang w:val="en-US"/>
        </w:rPr>
        <w:tab/>
        <w:t xml:space="preserve">               </w:t>
      </w:r>
      <w:r>
        <w:rPr>
          <w:rFonts w:eastAsia="Times New Roman" w:cs="Times New Roman" w:ascii="Times New Roman" w:hAnsi="Times New Roman"/>
          <w:color w:val="000000"/>
          <w:sz w:val="24"/>
          <w:szCs w:val="24"/>
          <w:lang w:val="en-US"/>
        </w:rPr>
        <w:t xml:space="preserve">                 </w:t>
      </w:r>
    </w:p>
    <w:p>
      <w:pPr>
        <w:pStyle w:val="Normal"/>
        <w:spacing w:lineRule="auto" w:line="240" w:before="0" w:after="0"/>
        <w:rPr>
          <w:rFonts w:ascii="Times New Roman" w:hAnsi="Times New Roman" w:eastAsia="Times New Roman" w:cs="Times New Roman"/>
          <w:sz w:val="24"/>
          <w:szCs w:val="24"/>
          <w:lang w:val="en-US"/>
        </w:rPr>
      </w:pPr>
      <w:r>
        <w:rPr>
          <w:rFonts w:eastAsia="Times New Roman" w:cs="Times New Roman" w:ascii="Times New Roman" w:hAnsi="Times New Roman"/>
          <w:sz w:val="24"/>
          <w:szCs w:val="24"/>
          <w:lang w:val="en-US"/>
        </w:rPr>
      </w:r>
    </w:p>
    <w:p>
      <w:pPr>
        <w:pStyle w:val="Normal"/>
        <w:spacing w:lineRule="auto" w:line="240" w:before="0" w:after="0"/>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t>________________</w:t>
      </w:r>
      <w:r>
        <w:rPr>
          <w:lang w:val="en-US"/>
        </w:rPr>
        <w:t xml:space="preserve"> </w:t>
      </w:r>
      <w:r>
        <w:rPr>
          <w:rFonts w:eastAsia="Times New Roman" w:cs="Times New Roman" w:ascii="Times New Roman" w:hAnsi="Times New Roman"/>
          <w:color w:val="000000"/>
          <w:sz w:val="24"/>
          <w:szCs w:val="24"/>
          <w:lang w:val="en-US"/>
        </w:rPr>
        <w:t xml:space="preserve">/ </w:t>
      </w:r>
      <w:r>
        <w:rPr>
          <w:rFonts w:eastAsia="Times New Roman" w:cs="Times New Roman" w:ascii="Times New Roman" w:hAnsi="Times New Roman"/>
          <w:color w:val="000000"/>
          <w:sz w:val="24"/>
          <w:szCs w:val="24"/>
        </w:rPr>
        <w:t>Клестов</w:t>
      </w:r>
      <w:r>
        <w:rPr>
          <w:rFonts w:eastAsia="Times New Roman" w:cs="Times New Roman" w:ascii="Times New Roman" w:hAnsi="Times New Roman"/>
          <w:color w:val="000000"/>
          <w:sz w:val="24"/>
          <w:szCs w:val="24"/>
          <w:lang w:val="en-US"/>
        </w:rPr>
        <w:t xml:space="preserve"> </w:t>
      </w:r>
      <w:r>
        <w:rPr>
          <w:rFonts w:eastAsia="Times New Roman" w:cs="Times New Roman" w:ascii="Times New Roman" w:hAnsi="Times New Roman"/>
          <w:color w:val="000000"/>
          <w:sz w:val="24"/>
          <w:szCs w:val="24"/>
        </w:rPr>
        <w:t>Н</w:t>
      </w:r>
      <w:r>
        <w:rPr>
          <w:rFonts w:eastAsia="Times New Roman" w:cs="Times New Roman" w:ascii="Times New Roman" w:hAnsi="Times New Roman"/>
          <w:color w:val="000000"/>
          <w:sz w:val="24"/>
          <w:szCs w:val="24"/>
          <w:lang w:val="en-US"/>
        </w:rPr>
        <w:t>.</w:t>
      </w:r>
      <w:r>
        <w:rPr>
          <w:rFonts w:eastAsia="Times New Roman" w:cs="Times New Roman" w:ascii="Times New Roman" w:hAnsi="Times New Roman"/>
          <w:color w:val="000000"/>
          <w:sz w:val="24"/>
          <w:szCs w:val="24"/>
        </w:rPr>
        <w:t>А</w:t>
      </w:r>
      <w:r>
        <w:rPr>
          <w:rFonts w:eastAsia="Times New Roman" w:cs="Times New Roman" w:ascii="Times New Roman" w:hAnsi="Times New Roman"/>
          <w:color w:val="000000"/>
          <w:sz w:val="24"/>
          <w:szCs w:val="24"/>
          <w:lang w:val="en-US"/>
        </w:rPr>
        <w:t xml:space="preserve">. /                   _______________/ </w:t>
      </w:r>
      <w:r>
        <w:rPr>
          <w:rFonts w:eastAsia="Times New Roman" w:cs="Times New Roman" w:ascii="Times New Roman" w:hAnsi="Times New Roman"/>
          <w:sz w:val="24"/>
          <w:szCs w:val="24"/>
          <w:lang w:val="en-US"/>
        </w:rPr>
        <w:tab/>
        <w:tab/>
        <w:tab/>
      </w:r>
      <w:r>
        <w:rPr>
          <w:rFonts w:eastAsia="Times New Roman" w:cs="Times New Roman" w:ascii="Times New Roman" w:hAnsi="Times New Roman"/>
          <w:color w:val="000000"/>
          <w:sz w:val="24"/>
          <w:szCs w:val="24"/>
          <w:lang w:val="en-US"/>
        </w:rPr>
        <w:t xml:space="preserve">/        </w:t>
      </w:r>
    </w:p>
    <w:sectPr>
      <w:headerReference w:type="default" r:id="rId4"/>
      <w:footerReference w:type="default" r:id="rId5"/>
      <w:type w:val="nextPage"/>
      <w:pgSz w:w="11906" w:h="16838"/>
      <w:pgMar w:left="1701" w:right="850" w:header="708" w:top="765" w:footer="708" w:bottom="765" w:gutter="0"/>
      <w:pgNumType w:start="1"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Segoe UI">
    <w:charset w:val="cc"/>
    <w:family w:val="roman"/>
    <w:pitch w:val="variable"/>
  </w:font>
  <w:font w:name="Liberation Sans">
    <w:altName w:val="Arial"/>
    <w:charset w:val="cc"/>
    <w:family w:val="swiss"/>
    <w:pitch w:val="variable"/>
  </w:font>
  <w:font w:name="Georgia">
    <w:charset w:val="cc"/>
    <w:family w:val="roman"/>
    <w:pitch w:val="variable"/>
  </w:font>
  <w:font w:name="Times New Roman">
    <w:charset w:val="cc"/>
    <w:family w:val="roman"/>
    <w:pitch w:val="variable"/>
  </w:font>
  <w:font w:name="Arial Narrow">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22398275"/>
    </w:sdtPr>
    <w:sdtContent>
      <w:p>
        <w:pPr>
          <w:pStyle w:val="Style25"/>
          <w:jc w:val="center"/>
          <w:rPr/>
        </w:pPr>
        <w:r>
          <w:rPr/>
          <w:fldChar w:fldCharType="begin"/>
        </w:r>
        <w:r>
          <w:rPr/>
          <w:instrText> PAGE </w:instrText>
        </w:r>
        <w:r>
          <w:rPr/>
          <w:fldChar w:fldCharType="separate"/>
        </w:r>
        <w:r>
          <w:rPr/>
          <w:t>8</w:t>
        </w:r>
        <w:r>
          <w:rPr/>
          <w:fldChar w:fldCharType="end"/>
        </w:r>
      </w:p>
    </w:sdtContent>
  </w:sdt>
  <w:p>
    <w:pPr>
      <w:pStyle w:val="Normal"/>
      <w:pBdr/>
      <w:tabs>
        <w:tab w:val="clear" w:pos="720"/>
        <w:tab w:val="center" w:pos="4677" w:leader="none"/>
        <w:tab w:val="right" w:pos="9355" w:leader="none"/>
      </w:tabs>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677" w:leader="none"/>
        <w:tab w:val="right" w:pos="9355" w:leader="none"/>
      </w:tabs>
      <w:spacing w:lineRule="auto" w:line="240" w:before="0" w:after="0"/>
      <w:rPr>
        <w:color w:val="000000"/>
      </w:rPr>
    </w:pPr>
    <w:r>
      <w:rPr>
        <w:color w:val="000000"/>
      </w:rPr>
    </w:r>
  </w:p>
  <w:p>
    <w:pPr>
      <w:pStyle w:val="Normal"/>
      <w:pBdr/>
      <w:tabs>
        <w:tab w:val="clear" w:pos="720"/>
        <w:tab w:val="center" w:pos="4677" w:leader="none"/>
        <w:tab w:val="right" w:pos="9355" w:leader="none"/>
      </w:tabs>
      <w:spacing w:lineRule="auto" w:line="240" w:before="0" w:after="0"/>
      <w:rPr>
        <w:color w:val="000000"/>
      </w:rPr>
    </w:pPr>
    <w:r>
      <w:rPr>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lvl w:ilvl="0">
      <w:start w:val="1"/>
      <w:numFmt w:val="decimal"/>
      <w:lvlText w:val="%1"/>
      <w:lvlJc w:val="left"/>
      <w:pPr>
        <w:ind w:left="0" w:firstLine="284"/>
      </w:pPr>
      <w:rPr>
        <w:b/>
      </w:rPr>
    </w:lvl>
    <w:lvl w:ilvl="1">
      <w:start w:val="1"/>
      <w:numFmt w:val="decimal"/>
      <w:lvlText w:val="%1.%2"/>
      <w:lvlJc w:val="left"/>
      <w:pPr>
        <w:ind w:left="0" w:firstLine="510"/>
      </w:pPr>
      <w:rPr>
        <w:b w:val="false"/>
      </w:rPr>
    </w:lvl>
    <w:lvl w:ilvl="2">
      <w:start w:val="1"/>
      <w:numFmt w:val="decimal"/>
      <w:lvlText w:val="%1.%2.%3"/>
      <w:lvlJc w:val="left"/>
      <w:pPr>
        <w:ind w:left="-28" w:firstLine="737"/>
      </w:pPr>
    </w:lvl>
    <w:lvl w:ilvl="3">
      <w:start w:val="1"/>
      <w:numFmt w:val="decimal"/>
      <w:lvlText w:val="%1.%2.%3.%4"/>
      <w:lvlJc w:val="left"/>
      <w:pPr>
        <w:ind w:left="0" w:firstLine="964"/>
      </w:pPr>
    </w:lvl>
    <w:lvl w:ilvl="4">
      <w:start w:val="1"/>
      <w:numFmt w:val="decimal"/>
      <w:lvlText w:val="%1.%2.%3.%4.%5"/>
      <w:lvlJc w:val="left"/>
      <w:pPr>
        <w:ind w:left="0" w:firstLine="1191"/>
      </w:pPr>
    </w:lvl>
    <w:lvl w:ilvl="5">
      <w:start w:val="1"/>
      <w:numFmt w:val="decimal"/>
      <w:lvlText w:val="%1.%2.%3.%4.%5.%6"/>
      <w:lvlJc w:val="left"/>
      <w:pPr>
        <w:ind w:left="0" w:firstLine="284"/>
      </w:pPr>
    </w:lvl>
    <w:lvl w:ilvl="6">
      <w:start w:val="1"/>
      <w:numFmt w:val="decimal"/>
      <w:lvlText w:val="%1.%2.%3.%4.%5.%6.%7"/>
      <w:lvlJc w:val="left"/>
      <w:pPr>
        <w:ind w:left="0" w:firstLine="284"/>
      </w:pPr>
    </w:lvl>
    <w:lvl w:ilvl="7">
      <w:start w:val="1"/>
      <w:numFmt w:val="decimal"/>
      <w:lvlText w:val="%1.%2.%3.%4.%5.%6.%7.%8"/>
      <w:lvlJc w:val="left"/>
      <w:pPr>
        <w:ind w:left="0" w:firstLine="284"/>
      </w:pPr>
    </w:lvl>
    <w:lvl w:ilvl="8">
      <w:start w:val="1"/>
      <w:numFmt w:val="decimal"/>
      <w:lvlText w:val="%1.%2.%3.%4.%5.%6.%7.%8.%9"/>
      <w:lvlJc w:val="left"/>
      <w:pPr>
        <w:ind w:left="0" w:firstLine="284"/>
      </w:pPr>
    </w:lvl>
  </w:abstractNum>
  <w:abstractNum w:abstractNumId="3">
    <w:lvl w:ilvl="0">
      <w:start w:val="1"/>
      <w:numFmt w:val="decimal"/>
      <w:lvlText w:val="%1."/>
      <w:lvlJc w:val="left"/>
      <w:pPr>
        <w:ind w:left="720" w:hanging="360"/>
      </w:pPr>
    </w:lvl>
    <w:lvl w:ilvl="1">
      <w:start w:val="1"/>
      <w:numFmt w:val="decimal"/>
      <w:lvlText w:val="%1.%2."/>
      <w:lvlJc w:val="left"/>
      <w:pPr>
        <w:ind w:left="1080" w:hanging="360"/>
      </w:pPr>
      <w:rPr>
        <w:b w:val="false"/>
      </w:rPr>
    </w:lvl>
    <w:lvl w:ilvl="2">
      <w:start w:val="1"/>
      <w:numFmt w:val="decimal"/>
      <w:lvlText w:val="%1.%2.%3."/>
      <w:lvlJc w:val="left"/>
      <w:pPr>
        <w:ind w:left="1146" w:hanging="720"/>
      </w:pPr>
      <w:rPr>
        <w:b w:val="false"/>
        <w:color w:val="000000"/>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lvl w:ilvl="0">
      <w:start w:val="2"/>
      <w:numFmt w:val="decimal"/>
      <w:lvlText w:val="%1"/>
      <w:lvlJc w:val="left"/>
      <w:pPr>
        <w:ind w:left="360" w:hanging="360"/>
      </w:pPr>
      <w:rPr>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760" w:hanging="144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560" w:hanging="1800"/>
      </w:pPr>
      <w:rPr>
        <w:color w:val="000000"/>
      </w:rPr>
    </w:lvl>
  </w:abstractNum>
  <w:abstractNum w:abstractNumId="5">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Fonts w:cs="Courier New"/>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Fonts w:cs="Courier New"/>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Fonts w:cs="Courier New"/>
      </w:rPr>
    </w:lvl>
    <w:lvl w:ilvl="8">
      <w:start w:val="1"/>
      <w:numFmt w:val="bullet"/>
      <w:lvlText w:val=""/>
      <w:lvlJc w:val="left"/>
      <w:pPr>
        <w:ind w:left="6764" w:hanging="360"/>
      </w:pPr>
      <w:rPr>
        <w:rFonts w:ascii="Wingdings" w:hAnsi="Wingdings" w:cs="Wingdings" w:hint="default"/>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1"/>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e6eb9"/>
    <w:pPr>
      <w:widowControl/>
      <w:bidi w:val="0"/>
      <w:spacing w:lineRule="auto" w:line="276" w:before="0" w:after="200"/>
      <w:jc w:val="left"/>
    </w:pPr>
    <w:rPr>
      <w:rFonts w:ascii="Calibri" w:hAnsi="Calibri" w:eastAsia="Calibri" w:cs="Calibri"/>
      <w:color w:val="auto"/>
      <w:kern w:val="0"/>
      <w:sz w:val="22"/>
      <w:szCs w:val="22"/>
      <w:lang w:val="ru-RU" w:eastAsia="ru-RU" w:bidi="ar-SA"/>
    </w:rPr>
  </w:style>
  <w:style w:type="paragraph" w:styleId="1">
    <w:name w:val="Heading 1"/>
    <w:basedOn w:val="Normal"/>
    <w:next w:val="Normal"/>
    <w:link w:val="10"/>
    <w:qFormat/>
    <w:pPr>
      <w:keepNext w:val="true"/>
      <w:keepLines/>
      <w:spacing w:before="480" w:after="120"/>
      <w:outlineLvl w:val="0"/>
    </w:pPr>
    <w:rPr>
      <w:b/>
      <w:sz w:val="48"/>
      <w:szCs w:val="48"/>
    </w:rPr>
  </w:style>
  <w:style w:type="paragraph" w:styleId="2">
    <w:name w:val="Heading 2"/>
    <w:basedOn w:val="Normal"/>
    <w:next w:val="Normal"/>
    <w:link w:val="20"/>
    <w:qFormat/>
    <w:pPr>
      <w:keepNext w:val="true"/>
      <w:keepLines/>
      <w:spacing w:before="360" w:after="80"/>
      <w:outlineLvl w:val="1"/>
    </w:pPr>
    <w:rPr>
      <w:b/>
      <w:sz w:val="36"/>
      <w:szCs w:val="36"/>
    </w:rPr>
  </w:style>
  <w:style w:type="paragraph" w:styleId="3">
    <w:name w:val="Heading 3"/>
    <w:basedOn w:val="Normal"/>
    <w:next w:val="Normal"/>
    <w:link w:val="30"/>
    <w:qFormat/>
    <w:pPr>
      <w:keepNext w:val="true"/>
      <w:keepLines/>
      <w:spacing w:before="280" w:after="80"/>
      <w:outlineLvl w:val="2"/>
    </w:pPr>
    <w:rPr>
      <w:b/>
      <w:sz w:val="28"/>
      <w:szCs w:val="28"/>
    </w:rPr>
  </w:style>
  <w:style w:type="paragraph" w:styleId="4">
    <w:name w:val="Heading 4"/>
    <w:basedOn w:val="Normal"/>
    <w:next w:val="Normal"/>
    <w:link w:val="40"/>
    <w:qFormat/>
    <w:pPr>
      <w:keepNext w:val="true"/>
      <w:keepLines/>
      <w:spacing w:before="240" w:after="40"/>
      <w:outlineLvl w:val="3"/>
    </w:pPr>
    <w:rPr>
      <w:b/>
      <w:sz w:val="24"/>
      <w:szCs w:val="24"/>
    </w:rPr>
  </w:style>
  <w:style w:type="paragraph" w:styleId="5">
    <w:name w:val="Heading 5"/>
    <w:basedOn w:val="Normal"/>
    <w:next w:val="Normal"/>
    <w:link w:val="50"/>
    <w:qFormat/>
    <w:pPr>
      <w:keepNext w:val="true"/>
      <w:keepLines/>
      <w:spacing w:before="220" w:after="40"/>
      <w:outlineLvl w:val="4"/>
    </w:pPr>
    <w:rPr>
      <w:b/>
    </w:rPr>
  </w:style>
  <w:style w:type="paragraph" w:styleId="6">
    <w:name w:val="Heading 6"/>
    <w:basedOn w:val="Normal"/>
    <w:next w:val="Normal"/>
    <w:link w:val="60"/>
    <w:qFormat/>
    <w:pPr>
      <w:keepNext w:val="true"/>
      <w:keepLines/>
      <w:spacing w:before="200" w:after="40"/>
      <w:outlineLvl w:val="5"/>
    </w:pPr>
    <w:rPr>
      <w:b/>
      <w:sz w:val="20"/>
      <w:szCs w:val="20"/>
    </w:rPr>
  </w:style>
  <w:style w:type="paragraph" w:styleId="7">
    <w:name w:val="Heading 7"/>
    <w:basedOn w:val="Normal"/>
    <w:next w:val="Normal"/>
    <w:link w:val="70"/>
    <w:uiPriority w:val="9"/>
    <w:unhideWhenUsed/>
    <w:qFormat/>
    <w:pPr>
      <w:keepNext w:val="true"/>
      <w:keepLines/>
      <w:spacing w:before="320" w:after="200"/>
      <w:outlineLvl w:val="6"/>
    </w:pPr>
    <w:rPr>
      <w:rFonts w:ascii="Arial" w:hAnsi="Arial" w:eastAsia="Arial" w:cs="Arial"/>
      <w:b/>
      <w:bCs/>
      <w:i/>
      <w:iCs/>
    </w:rPr>
  </w:style>
  <w:style w:type="paragraph" w:styleId="8">
    <w:name w:val="Heading 8"/>
    <w:basedOn w:val="Normal"/>
    <w:next w:val="Normal"/>
    <w:link w:val="80"/>
    <w:uiPriority w:val="9"/>
    <w:unhideWhenUsed/>
    <w:qFormat/>
    <w:pPr>
      <w:keepNext w:val="true"/>
      <w:keepLines/>
      <w:spacing w:before="320" w:after="200"/>
      <w:outlineLvl w:val="7"/>
    </w:pPr>
    <w:rPr>
      <w:rFonts w:ascii="Arial" w:hAnsi="Arial" w:eastAsia="Arial" w:cs="Arial"/>
      <w:i/>
      <w:iCs/>
    </w:rPr>
  </w:style>
  <w:style w:type="paragraph" w:styleId="9">
    <w:name w:val="Heading 9"/>
    <w:basedOn w:val="Normal"/>
    <w:next w:val="Normal"/>
    <w:link w:val="90"/>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Pr>
      <w:rFonts w:ascii="Arial" w:hAnsi="Arial" w:eastAsia="Arial" w:cs="Arial"/>
      <w:sz w:val="40"/>
      <w:szCs w:val="40"/>
    </w:rPr>
  </w:style>
  <w:style w:type="character" w:styleId="21" w:customStyle="1">
    <w:name w:val="Заголовок 2 Знак"/>
    <w:basedOn w:val="DefaultParagraphFont"/>
    <w:link w:val="2"/>
    <w:uiPriority w:val="9"/>
    <w:qFormat/>
    <w:rPr>
      <w:rFonts w:ascii="Arial" w:hAnsi="Arial" w:eastAsia="Arial" w:cs="Arial"/>
      <w:sz w:val="34"/>
    </w:rPr>
  </w:style>
  <w:style w:type="character" w:styleId="31" w:customStyle="1">
    <w:name w:val="Заголовок 3 Знак"/>
    <w:basedOn w:val="DefaultParagraphFont"/>
    <w:link w:val="3"/>
    <w:uiPriority w:val="9"/>
    <w:qFormat/>
    <w:rPr>
      <w:rFonts w:ascii="Arial" w:hAnsi="Arial" w:eastAsia="Arial" w:cs="Arial"/>
      <w:sz w:val="30"/>
      <w:szCs w:val="30"/>
    </w:rPr>
  </w:style>
  <w:style w:type="character" w:styleId="41" w:customStyle="1">
    <w:name w:val="Заголовок 4 Знак"/>
    <w:basedOn w:val="DefaultParagraphFont"/>
    <w:link w:val="4"/>
    <w:uiPriority w:val="9"/>
    <w:qFormat/>
    <w:rPr>
      <w:rFonts w:ascii="Arial" w:hAnsi="Arial" w:eastAsia="Arial" w:cs="Arial"/>
      <w:b/>
      <w:bCs/>
      <w:sz w:val="26"/>
      <w:szCs w:val="26"/>
    </w:rPr>
  </w:style>
  <w:style w:type="character" w:styleId="51" w:customStyle="1">
    <w:name w:val="Заголовок 5 Знак"/>
    <w:basedOn w:val="DefaultParagraphFont"/>
    <w:link w:val="5"/>
    <w:uiPriority w:val="9"/>
    <w:qFormat/>
    <w:rPr>
      <w:rFonts w:ascii="Arial" w:hAnsi="Arial" w:eastAsia="Arial" w:cs="Arial"/>
      <w:b/>
      <w:bCs/>
      <w:sz w:val="24"/>
      <w:szCs w:val="24"/>
    </w:rPr>
  </w:style>
  <w:style w:type="character" w:styleId="61" w:customStyle="1">
    <w:name w:val="Заголовок 6 Знак"/>
    <w:basedOn w:val="DefaultParagraphFont"/>
    <w:link w:val="6"/>
    <w:uiPriority w:val="9"/>
    <w:qFormat/>
    <w:rPr>
      <w:rFonts w:ascii="Arial" w:hAnsi="Arial" w:eastAsia="Arial" w:cs="Arial"/>
      <w:b/>
      <w:bCs/>
      <w:sz w:val="22"/>
      <w:szCs w:val="22"/>
    </w:rPr>
  </w:style>
  <w:style w:type="character" w:styleId="71" w:customStyle="1">
    <w:name w:val="Заголовок 7 Знак"/>
    <w:basedOn w:val="DefaultParagraphFont"/>
    <w:link w:val="7"/>
    <w:uiPriority w:val="9"/>
    <w:qFormat/>
    <w:rPr>
      <w:rFonts w:ascii="Arial" w:hAnsi="Arial" w:eastAsia="Arial" w:cs="Arial"/>
      <w:b/>
      <w:bCs/>
      <w:i/>
      <w:iCs/>
      <w:sz w:val="22"/>
      <w:szCs w:val="22"/>
    </w:rPr>
  </w:style>
  <w:style w:type="character" w:styleId="81" w:customStyle="1">
    <w:name w:val="Заголовок 8 Знак"/>
    <w:basedOn w:val="DefaultParagraphFont"/>
    <w:link w:val="8"/>
    <w:uiPriority w:val="9"/>
    <w:qFormat/>
    <w:rPr>
      <w:rFonts w:ascii="Arial" w:hAnsi="Arial" w:eastAsia="Arial" w:cs="Arial"/>
      <w:i/>
      <w:iCs/>
      <w:sz w:val="22"/>
      <w:szCs w:val="22"/>
    </w:rPr>
  </w:style>
  <w:style w:type="character" w:styleId="91" w:customStyle="1">
    <w:name w:val="Заголовок 9 Знак"/>
    <w:basedOn w:val="DefaultParagraphFont"/>
    <w:link w:val="9"/>
    <w:uiPriority w:val="9"/>
    <w:qFormat/>
    <w:rPr>
      <w:rFonts w:ascii="Arial" w:hAnsi="Arial" w:eastAsia="Arial" w:cs="Arial"/>
      <w:i/>
      <w:iCs/>
      <w:sz w:val="21"/>
      <w:szCs w:val="21"/>
    </w:rPr>
  </w:style>
  <w:style w:type="character" w:styleId="Style5" w:customStyle="1">
    <w:name w:val="Заголовок Знак"/>
    <w:basedOn w:val="DefaultParagraphFont"/>
    <w:link w:val="a6"/>
    <w:uiPriority w:val="10"/>
    <w:qFormat/>
    <w:rPr>
      <w:sz w:val="48"/>
      <w:szCs w:val="48"/>
    </w:rPr>
  </w:style>
  <w:style w:type="character" w:styleId="Style6" w:customStyle="1">
    <w:name w:val="Подзаголовок Знак"/>
    <w:basedOn w:val="DefaultParagraphFont"/>
    <w:link w:val="a8"/>
    <w:uiPriority w:val="11"/>
    <w:qFormat/>
    <w:rPr>
      <w:sz w:val="24"/>
      <w:szCs w:val="24"/>
    </w:rPr>
  </w:style>
  <w:style w:type="character" w:styleId="22" w:customStyle="1">
    <w:name w:val="Цитата 2 Знак"/>
    <w:link w:val="21"/>
    <w:uiPriority w:val="29"/>
    <w:qFormat/>
    <w:rPr>
      <w:i/>
    </w:rPr>
  </w:style>
  <w:style w:type="character" w:styleId="Style7" w:customStyle="1">
    <w:name w:val="Выделенная цитата Знак"/>
    <w:link w:val="a9"/>
    <w:uiPriority w:val="30"/>
    <w:qFormat/>
    <w:rPr>
      <w:i/>
    </w:rPr>
  </w:style>
  <w:style w:type="character" w:styleId="Style8" w:customStyle="1">
    <w:name w:val="Верхний колонтитул Знак"/>
    <w:basedOn w:val="DefaultParagraphFont"/>
    <w:link w:val="ab"/>
    <w:uiPriority w:val="99"/>
    <w:qFormat/>
    <w:rPr/>
  </w:style>
  <w:style w:type="character" w:styleId="FooterChar" w:customStyle="1">
    <w:name w:val="Footer Char"/>
    <w:basedOn w:val="DefaultParagraphFont"/>
    <w:uiPriority w:val="99"/>
    <w:qFormat/>
    <w:rPr/>
  </w:style>
  <w:style w:type="character" w:styleId="Style9" w:customStyle="1">
    <w:name w:val="Нижний колонтитул Знак"/>
    <w:link w:val="ad"/>
    <w:uiPriority w:val="99"/>
    <w:qFormat/>
    <w:rPr/>
  </w:style>
  <w:style w:type="character" w:styleId="Style10">
    <w:name w:val="Интернет-ссылка"/>
    <w:uiPriority w:val="99"/>
    <w:unhideWhenUsed/>
    <w:rPr>
      <w:color w:val="0000FF" w:themeColor="hyperlink"/>
      <w:u w:val="single"/>
    </w:rPr>
  </w:style>
  <w:style w:type="character" w:styleId="Style11" w:customStyle="1">
    <w:name w:val="Текст сноски Знак"/>
    <w:link w:val="af2"/>
    <w:uiPriority w:val="99"/>
    <w:qFormat/>
    <w:rPr>
      <w:sz w:val="18"/>
    </w:rPr>
  </w:style>
  <w:style w:type="character" w:styleId="Style12">
    <w:name w:val="Привязка сноски"/>
    <w:rPr>
      <w:vertAlign w:val="superscript"/>
    </w:rPr>
  </w:style>
  <w:style w:type="character" w:styleId="FootnoteCharacters">
    <w:name w:val="Footnote Characters"/>
    <w:basedOn w:val="DefaultParagraphFont"/>
    <w:uiPriority w:val="99"/>
    <w:unhideWhenUsed/>
    <w:qFormat/>
    <w:rPr>
      <w:vertAlign w:val="superscript"/>
    </w:rPr>
  </w:style>
  <w:style w:type="character" w:styleId="Style13" w:customStyle="1">
    <w:name w:val="Текст концевой сноски Знак"/>
    <w:link w:val="af5"/>
    <w:uiPriority w:val="99"/>
    <w:qFormat/>
    <w:rPr>
      <w:sz w:val="20"/>
    </w:rPr>
  </w:style>
  <w:style w:type="character" w:styleId="Style14">
    <w:name w:val="Привязка концевой сноски"/>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Annotationreference">
    <w:name w:val="annotation reference"/>
    <w:basedOn w:val="DefaultParagraphFont"/>
    <w:uiPriority w:val="99"/>
    <w:semiHidden/>
    <w:unhideWhenUsed/>
    <w:qFormat/>
    <w:rsid w:val="00ac4f5a"/>
    <w:rPr>
      <w:sz w:val="16"/>
      <w:szCs w:val="16"/>
    </w:rPr>
  </w:style>
  <w:style w:type="character" w:styleId="Style15" w:customStyle="1">
    <w:name w:val="Текст примечания Знак"/>
    <w:basedOn w:val="DefaultParagraphFont"/>
    <w:link w:val="afb"/>
    <w:uiPriority w:val="99"/>
    <w:semiHidden/>
    <w:qFormat/>
    <w:rsid w:val="00ac4f5a"/>
    <w:rPr>
      <w:sz w:val="20"/>
      <w:szCs w:val="20"/>
    </w:rPr>
  </w:style>
  <w:style w:type="character" w:styleId="Style16" w:customStyle="1">
    <w:name w:val="Тема примечания Знак"/>
    <w:basedOn w:val="Style15"/>
    <w:link w:val="afd"/>
    <w:uiPriority w:val="99"/>
    <w:semiHidden/>
    <w:qFormat/>
    <w:rsid w:val="00ac4f5a"/>
    <w:rPr>
      <w:b/>
      <w:bCs/>
      <w:sz w:val="20"/>
      <w:szCs w:val="20"/>
    </w:rPr>
  </w:style>
  <w:style w:type="character" w:styleId="Style17" w:customStyle="1">
    <w:name w:val="Текст выноски Знак"/>
    <w:basedOn w:val="DefaultParagraphFont"/>
    <w:link w:val="aff"/>
    <w:uiPriority w:val="99"/>
    <w:semiHidden/>
    <w:qFormat/>
    <w:rsid w:val="00ac4f5a"/>
    <w:rPr>
      <w:rFonts w:ascii="Segoe UI" w:hAnsi="Segoe UI" w:cs="Segoe UI"/>
      <w:sz w:val="18"/>
      <w:szCs w:val="18"/>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ListParagraph">
    <w:name w:val="List Paragraph"/>
    <w:basedOn w:val="Normal"/>
    <w:uiPriority w:val="34"/>
    <w:qFormat/>
    <w:pPr>
      <w:spacing w:before="0" w:after="200"/>
      <w:ind w:left="720" w:hanging="0"/>
      <w:contextualSpacing/>
    </w:pPr>
    <w:rPr/>
  </w:style>
  <w:style w:type="paragraph" w:styleId="NoSpacing">
    <w:name w:val="No Spacing"/>
    <w:uiPriority w:val="1"/>
    <w:qFormat/>
    <w:pPr>
      <w:widowControl/>
      <w:bidi w:val="0"/>
      <w:spacing w:lineRule="auto" w:line="240" w:before="0" w:after="0"/>
      <w:jc w:val="left"/>
    </w:pPr>
    <w:rPr>
      <w:rFonts w:ascii="Calibri" w:hAnsi="Calibri" w:eastAsia="Calibri" w:cs="Calibri"/>
      <w:color w:val="auto"/>
      <w:kern w:val="0"/>
      <w:sz w:val="22"/>
      <w:szCs w:val="22"/>
      <w:lang w:val="ru-RU" w:eastAsia="ru-RU" w:bidi="ar-SA"/>
    </w:rPr>
  </w:style>
  <w:style w:type="paragraph" w:styleId="Quote">
    <w:name w:val="Quote"/>
    <w:basedOn w:val="Normal"/>
    <w:next w:val="Normal"/>
    <w:link w:val="22"/>
    <w:uiPriority w:val="29"/>
    <w:qFormat/>
    <w:pPr>
      <w:ind w:left="720" w:right="720" w:hanging="0"/>
    </w:pPr>
    <w:rPr>
      <w:i/>
    </w:rPr>
  </w:style>
  <w:style w:type="paragraph" w:styleId="IntenseQuote">
    <w:name w:val="Intense Quote"/>
    <w:basedOn w:val="Normal"/>
    <w:next w:val="Normal"/>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3">
    <w:name w:val="Верхний и нижний колонтитулы"/>
    <w:basedOn w:val="Normal"/>
    <w:qFormat/>
    <w:pPr/>
    <w:rPr/>
  </w:style>
  <w:style w:type="paragraph" w:styleId="Style24">
    <w:name w:val="Header"/>
    <w:basedOn w:val="Normal"/>
    <w:link w:val="ac"/>
    <w:uiPriority w:val="99"/>
    <w:unhideWhenUsed/>
    <w:pPr>
      <w:tabs>
        <w:tab w:val="clear" w:pos="720"/>
        <w:tab w:val="center" w:pos="7143" w:leader="none"/>
        <w:tab w:val="right" w:pos="14287" w:leader="none"/>
      </w:tabs>
      <w:spacing w:lineRule="auto" w:line="240" w:before="0" w:after="0"/>
    </w:pPr>
    <w:rPr/>
  </w:style>
  <w:style w:type="paragraph" w:styleId="Style25">
    <w:name w:val="Footer"/>
    <w:basedOn w:val="Normal"/>
    <w:link w:val="ae"/>
    <w:uiPriority w:val="99"/>
    <w:unhideWhenUsed/>
    <w:pPr>
      <w:tabs>
        <w:tab w:val="clear" w:pos="720"/>
        <w:tab w:val="center" w:pos="7143" w:leader="none"/>
        <w:tab w:val="right" w:pos="14287" w:leader="none"/>
      </w:tabs>
      <w:spacing w:lineRule="auto" w:line="240" w:before="0" w:after="0"/>
    </w:pPr>
    <w:rPr/>
  </w:style>
  <w:style w:type="paragraph" w:styleId="Caption">
    <w:name w:val="caption"/>
    <w:basedOn w:val="Normal"/>
    <w:next w:val="Normal"/>
    <w:uiPriority w:val="35"/>
    <w:semiHidden/>
    <w:unhideWhenUsed/>
    <w:qFormat/>
    <w:pPr/>
    <w:rPr>
      <w:b/>
      <w:bCs/>
      <w:color w:val="4F81BD" w:themeColor="accent1"/>
      <w:sz w:val="18"/>
      <w:szCs w:val="18"/>
    </w:rPr>
  </w:style>
  <w:style w:type="paragraph" w:styleId="Style26">
    <w:name w:val="Footnote Text"/>
    <w:basedOn w:val="Normal"/>
    <w:link w:val="af3"/>
    <w:uiPriority w:val="99"/>
    <w:semiHidden/>
    <w:unhideWhenUsed/>
    <w:pPr>
      <w:spacing w:lineRule="auto" w:line="240" w:before="0" w:after="40"/>
    </w:pPr>
    <w:rPr>
      <w:sz w:val="18"/>
    </w:rPr>
  </w:style>
  <w:style w:type="paragraph" w:styleId="Style27">
    <w:name w:val="Endnote Text"/>
    <w:basedOn w:val="Normal"/>
    <w:link w:val="af6"/>
    <w:uiPriority w:val="99"/>
    <w:semiHidden/>
    <w:unhideWhenUsed/>
    <w:pPr>
      <w:spacing w:lineRule="auto" w:line="240" w:before="0" w:after="0"/>
    </w:pPr>
    <w:rPr>
      <w:sz w:val="20"/>
    </w:rPr>
  </w:style>
  <w:style w:type="paragraph" w:styleId="12">
    <w:name w:val="TOC 1"/>
    <w:basedOn w:val="Normal"/>
    <w:next w:val="Normal"/>
    <w:uiPriority w:val="39"/>
    <w:unhideWhenUsed/>
    <w:pPr>
      <w:spacing w:before="0" w:after="57"/>
    </w:pPr>
    <w:rPr/>
  </w:style>
  <w:style w:type="paragraph" w:styleId="23">
    <w:name w:val="TOC 2"/>
    <w:basedOn w:val="Normal"/>
    <w:next w:val="Normal"/>
    <w:uiPriority w:val="39"/>
    <w:unhideWhenUsed/>
    <w:pPr>
      <w:spacing w:before="0" w:after="57"/>
      <w:ind w:left="283" w:hanging="0"/>
    </w:pPr>
    <w:rPr/>
  </w:style>
  <w:style w:type="paragraph" w:styleId="32">
    <w:name w:val="TOC 3"/>
    <w:basedOn w:val="Normal"/>
    <w:next w:val="Normal"/>
    <w:uiPriority w:val="39"/>
    <w:unhideWhenUsed/>
    <w:pPr>
      <w:spacing w:before="0" w:after="57"/>
      <w:ind w:left="567" w:hanging="0"/>
    </w:pPr>
    <w:rPr/>
  </w:style>
  <w:style w:type="paragraph" w:styleId="42">
    <w:name w:val="TOC 4"/>
    <w:basedOn w:val="Normal"/>
    <w:next w:val="Normal"/>
    <w:uiPriority w:val="39"/>
    <w:unhideWhenUsed/>
    <w:pPr>
      <w:spacing w:before="0" w:after="57"/>
      <w:ind w:left="850" w:hanging="0"/>
    </w:pPr>
    <w:rPr/>
  </w:style>
  <w:style w:type="paragraph" w:styleId="52">
    <w:name w:val="TOC 5"/>
    <w:basedOn w:val="Normal"/>
    <w:next w:val="Normal"/>
    <w:uiPriority w:val="39"/>
    <w:unhideWhenUsed/>
    <w:pPr>
      <w:spacing w:before="0" w:after="57"/>
      <w:ind w:left="1134" w:hanging="0"/>
    </w:pPr>
    <w:rPr/>
  </w:style>
  <w:style w:type="paragraph" w:styleId="62">
    <w:name w:val="TOC 6"/>
    <w:basedOn w:val="Normal"/>
    <w:next w:val="Normal"/>
    <w:uiPriority w:val="39"/>
    <w:unhideWhenUsed/>
    <w:pPr>
      <w:spacing w:before="0" w:after="57"/>
      <w:ind w:left="1417" w:hanging="0"/>
    </w:pPr>
    <w:rPr/>
  </w:style>
  <w:style w:type="paragraph" w:styleId="72">
    <w:name w:val="TOC 7"/>
    <w:basedOn w:val="Normal"/>
    <w:next w:val="Normal"/>
    <w:uiPriority w:val="39"/>
    <w:unhideWhenUsed/>
    <w:pPr>
      <w:spacing w:before="0" w:after="57"/>
      <w:ind w:left="1701" w:hanging="0"/>
    </w:pPr>
    <w:rPr/>
  </w:style>
  <w:style w:type="paragraph" w:styleId="82">
    <w:name w:val="TOC 8"/>
    <w:basedOn w:val="Normal"/>
    <w:next w:val="Normal"/>
    <w:uiPriority w:val="39"/>
    <w:unhideWhenUsed/>
    <w:pPr>
      <w:spacing w:before="0" w:after="57"/>
      <w:ind w:left="1984" w:hanging="0"/>
    </w:pPr>
    <w:rPr/>
  </w:style>
  <w:style w:type="paragraph" w:styleId="92">
    <w:name w:val="TOC 9"/>
    <w:basedOn w:val="Normal"/>
    <w:next w:val="Normal"/>
    <w:uiPriority w:val="39"/>
    <w:unhideWhenUsed/>
    <w:pPr>
      <w:spacing w:before="0" w:after="57"/>
      <w:ind w:left="2268" w:hanging="0"/>
    </w:pPr>
    <w:rPr/>
  </w:style>
  <w:style w:type="paragraph" w:styleId="TOCHeading">
    <w:name w:val="TOC Heading"/>
    <w:uiPriority w:val="39"/>
    <w:unhideWhenUsed/>
    <w:qFormat/>
    <w:pPr>
      <w:widowControl/>
      <w:bidi w:val="0"/>
      <w:spacing w:lineRule="auto" w:line="276" w:before="0" w:after="200"/>
      <w:jc w:val="left"/>
    </w:pPr>
    <w:rPr>
      <w:rFonts w:ascii="Calibri" w:hAnsi="Calibri" w:eastAsia="Calibri" w:cs="Calibri"/>
      <w:color w:val="auto"/>
      <w:kern w:val="0"/>
      <w:sz w:val="22"/>
      <w:szCs w:val="22"/>
      <w:lang w:val="ru-RU" w:eastAsia="ru-RU" w:bidi="ar-SA"/>
    </w:rPr>
  </w:style>
  <w:style w:type="paragraph" w:styleId="Tableoffigures">
    <w:name w:val="table of figures"/>
    <w:basedOn w:val="Normal"/>
    <w:next w:val="Normal"/>
    <w:uiPriority w:val="99"/>
    <w:unhideWhenUsed/>
    <w:qFormat/>
    <w:pPr>
      <w:spacing w:before="0" w:after="0"/>
    </w:pPr>
    <w:rPr/>
  </w:style>
  <w:style w:type="paragraph" w:styleId="Style28">
    <w:name w:val="Title"/>
    <w:basedOn w:val="Normal"/>
    <w:next w:val="Normal"/>
    <w:link w:val="a5"/>
    <w:qFormat/>
    <w:pPr>
      <w:keepNext w:val="true"/>
      <w:keepLines/>
      <w:spacing w:before="480" w:after="120"/>
    </w:pPr>
    <w:rPr>
      <w:b/>
      <w:sz w:val="72"/>
      <w:szCs w:val="72"/>
    </w:rPr>
  </w:style>
  <w:style w:type="paragraph" w:styleId="Style29">
    <w:name w:val="Subtitle"/>
    <w:basedOn w:val="Normal"/>
    <w:next w:val="Normal"/>
    <w:link w:val="a7"/>
    <w:qFormat/>
    <w:pPr>
      <w:keepNext w:val="true"/>
      <w:keepLines/>
      <w:spacing w:before="360" w:after="80"/>
    </w:pPr>
    <w:rPr>
      <w:rFonts w:ascii="Georgia" w:hAnsi="Georgia" w:eastAsia="Georgia" w:cs="Georgia"/>
      <w:i/>
      <w:color w:val="666666"/>
      <w:sz w:val="48"/>
      <w:szCs w:val="48"/>
    </w:rPr>
  </w:style>
  <w:style w:type="paragraph" w:styleId="Annotationtext">
    <w:name w:val="annotation text"/>
    <w:basedOn w:val="Normal"/>
    <w:link w:val="afc"/>
    <w:uiPriority w:val="99"/>
    <w:semiHidden/>
    <w:unhideWhenUsed/>
    <w:qFormat/>
    <w:rsid w:val="00ac4f5a"/>
    <w:pPr>
      <w:spacing w:lineRule="auto" w:line="240"/>
    </w:pPr>
    <w:rPr>
      <w:sz w:val="20"/>
      <w:szCs w:val="20"/>
    </w:rPr>
  </w:style>
  <w:style w:type="paragraph" w:styleId="Annotationsubject">
    <w:name w:val="annotation subject"/>
    <w:basedOn w:val="Annotationtext"/>
    <w:next w:val="Annotationtext"/>
    <w:link w:val="afe"/>
    <w:uiPriority w:val="99"/>
    <w:semiHidden/>
    <w:unhideWhenUsed/>
    <w:qFormat/>
    <w:rsid w:val="00ac4f5a"/>
    <w:pPr/>
    <w:rPr>
      <w:b/>
      <w:bCs/>
    </w:rPr>
  </w:style>
  <w:style w:type="paragraph" w:styleId="BalloonText">
    <w:name w:val="Balloon Text"/>
    <w:basedOn w:val="Normal"/>
    <w:link w:val="aff0"/>
    <w:uiPriority w:val="99"/>
    <w:semiHidden/>
    <w:unhideWhenUsed/>
    <w:qFormat/>
    <w:rsid w:val="00ac4f5a"/>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0">
    <w:name w:val="Table Grid"/>
    <w:basedOn w:val="a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color w:val="404040"/>
      </w:rPr>
      <w:tblPr/>
      <w:tcPr>
        <w:tcBorders>
          <w:bottom w:val="single" w:color="97B4D8"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color w:val="404040"/>
      </w:rPr>
      <w:tblPr/>
      <w:tcPr>
        <w:tcBorders>
          <w:bottom w:val="single" w:color="DA989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D"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color w:val="404040"/>
      </w:rPr>
      <w:tblPr/>
      <w:tcPr>
        <w:tcBorders>
          <w:bottom w:val="single" w:color="95CEDD"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color w:val="404040"/>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color w:val="404040"/>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color w:val="404040"/>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color w:val="404040"/>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color w:val="FFFFFF"/>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color w:val="404040"/>
      </w:rPr>
      <w:tblPr/>
      <w:tcPr>
        <w:tcBorders>
          <w:top w:val="single" w:color="5D8AC2"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color w:val="FFFFFF"/>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color w:val="404040"/>
      </w:rPr>
      <w:tblPr/>
      <w:tcPr>
        <w:tcBorders>
          <w:top w:val="single" w:color="D99695"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color w:val="FFFFFF"/>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color w:val="404040"/>
      </w:rPr>
      <w:tblPr/>
      <w:tcPr>
        <w:tcBorders>
          <w:top w:val="single" w:color="9ABB59"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color w:val="FFFFFF"/>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color w:val="404040"/>
      </w:rPr>
      <w:tblPr/>
      <w:tcPr>
        <w:tcBorders>
          <w:top w:val="single" w:color="B2A1C6"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F81BD" w:fill="4F81BD" w:themeFill="accent1"/>
      </w:tcPr>
    </w:tblStylePr>
    <w:tblStylePr w:type="lastRow">
      <w:rPr>
        <w:b/>
        <w:color w:val="FFFFFF"/>
        <w:sz w:val="22"/>
      </w:rPr>
      <w:tblPr/>
      <w:tcPr>
        <w:tcBorders>
          <w:top w:val="single" w:color="FFFFFF" w:themeColor="light1" w:sz="4" w:space="0"/>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C0504D" w:fill="C0504D" w:themeFill="accent2"/>
      </w:tcPr>
    </w:tblStylePr>
    <w:tblStylePr w:type="lastRow">
      <w:rPr>
        <w:b/>
        <w:color w:val="FFFFFF"/>
        <w:sz w:val="22"/>
      </w:rPr>
      <w:tblPr/>
      <w:tcPr>
        <w:tcBorders>
          <w:top w:val="single" w:color="FFFFFF" w:themeColor="light1" w:sz="4" w:space="0"/>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9BBB59" w:fill="9BBB59" w:themeFill="accent3"/>
      </w:tcPr>
    </w:tblStylePr>
    <w:tblStylePr w:type="lastRow">
      <w:rPr>
        <w:b/>
        <w:color w:val="FFFFFF"/>
        <w:sz w:val="22"/>
      </w:rPr>
      <w:tblPr/>
      <w:tcPr>
        <w:tcBorders>
          <w:top w:val="single" w:color="FFFFFF" w:themeColor="light1" w:sz="4" w:space="0"/>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8064A2" w:fill="8064A2" w:themeFill="accent4"/>
      </w:tcPr>
    </w:tblStylePr>
    <w:tblStylePr w:type="lastRow">
      <w:rPr>
        <w:b/>
        <w:color w:val="FFFFFF"/>
        <w:sz w:val="22"/>
      </w:rPr>
      <w:tblPr/>
      <w:tcPr>
        <w:tcBorders>
          <w:top w:val="single" w:color="FFFFFF" w:themeColor="light1" w:sz="4" w:space="0"/>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BACC6" w:fill="4BACC6" w:themeFill="accent5"/>
      </w:tcPr>
    </w:tblStylePr>
    <w:tblStylePr w:type="lastRow">
      <w:rPr>
        <w:b/>
        <w:color w:val="FFFFFF"/>
        <w:sz w:val="22"/>
      </w:rPr>
      <w:tblPr/>
      <w:tcPr>
        <w:tcBorders>
          <w:top w:val="single" w:color="FFFFFF" w:themeColor="light1" w:sz="4" w:space="0"/>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79646" w:fill="F79646" w:themeFill="accent6"/>
      </w:tcPr>
    </w:tblStylePr>
    <w:tblStylePr w:type="lastRow">
      <w:rPr>
        <w:b/>
        <w:color w:val="FFFFFF"/>
        <w:sz w:val="22"/>
      </w:rPr>
      <w:tblPr/>
      <w:tcPr>
        <w:tcBorders>
          <w:top w:val="single" w:color="FFFFFF" w:themeColor="light1" w:sz="4" w:space="0"/>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rPr>
      <w:tblPr/>
      <w:tcPr>
        <w:tcBorders>
          <w:bottom w:val="single" w:color="A6BFDD" w:themeColor="accent1" w:sz="12" w:space="0"/>
        </w:tcBorders>
      </w:tcPr>
    </w:tblStylePr>
    <w:tblStylePr w:type="lastRow">
      <w:rPr>
        <w:b/>
        <w:color w:val="A6BFDD" w:themeColor="accent1" w:themeTint="80" w:themeShade="95"/>
      </w:rPr>
      <w:tblPr/>
    </w:tblStylePr>
    <w:tblStylePr w:type="firstCol">
      <w:rPr>
        <w:b/>
        <w:color w:val="A6BFDD" w:themeColor="accent1" w:themeTint="80" w:themeShade="95"/>
      </w:rPr>
      <w:tblPr/>
    </w:tblStylePr>
    <w:tblStylePr w:type="lastCol">
      <w:rPr>
        <w:b/>
        <w:color w:val="A6BFDD" w:themeColor="accent1" w:themeTint="80" w:themeShade="95"/>
      </w:rPr>
      <w:tbl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rPr>
      <w:tblPr/>
      <w:tcPr>
        <w:tcBorders>
          <w:bottom w:val="single" w:color="D99695" w:themeColor="accent2" w:sz="12" w:space="0"/>
        </w:tcBorders>
      </w:tcPr>
    </w:tblStylePr>
    <w:tblStylePr w:type="lastRow">
      <w:rPr>
        <w:b/>
        <w:color w:val="D99695" w:themeColor="accent2" w:themeTint="97" w:themeShade="95"/>
      </w:rPr>
      <w:tbl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rPr>
      <w:tblPr/>
      <w:tcPr>
        <w:tcBorders>
          <w:bottom w:val="single" w:color="9ABB59" w:themeColor="accent3" w:sz="12" w:space="0"/>
        </w:tcBorders>
      </w:tcPr>
    </w:tblStylePr>
    <w:tblStylePr w:type="lastRow">
      <w:rPr>
        <w:b/>
        <w:color w:val="9ABB59" w:themeColor="accent3" w:themeTint="fe" w:themeShade="95"/>
      </w:rPr>
      <w:tblPr/>
    </w:tblStylePr>
    <w:tblStylePr w:type="firstCol">
      <w:rPr>
        <w:b/>
        <w:color w:val="9ABB59" w:themeColor="accent3" w:themeTint="fe" w:themeShade="95"/>
      </w:rPr>
      <w:tblPr/>
    </w:tblStylePr>
    <w:tblStylePr w:type="lastCol">
      <w:rPr>
        <w:b/>
        <w:color w:val="9ABB59" w:themeColor="accent3" w:themeTint="fe" w:themeShade="95"/>
      </w:rPr>
      <w:tbl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rPr>
      <w:tblPr/>
      <w:tcPr>
        <w:tcBorders>
          <w:bottom w:val="single" w:color="B2A1C6" w:themeColor="accent4" w:sz="12" w:space="0"/>
        </w:tcBorders>
      </w:tcPr>
    </w:tblStylePr>
    <w:tblStylePr w:type="lastRow">
      <w:rPr>
        <w:b/>
        <w:color w:val="B2A1C6" w:themeColor="accent4" w:themeTint="9a" w:themeShade="95"/>
      </w:rPr>
      <w:tbl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val="A6BFDD"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6BFDD"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val="A6BFDD"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val="9ABB59"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ABB59"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val="9ABB59"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val="266779"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val="266779"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66779"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val="266779"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val="B15407"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val="B15407"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15407"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val="B15407"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color w:val="404040"/>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color w:val="404040"/>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color w:val="404040"/>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color w:val="404040"/>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F81BD" w:themeColor="accent1" w:sz="4" w:space="0"/>
          <w:right w:val="single" w:color="4F81BD" w:themeColor="accent1" w:sz="4" w:space="0"/>
        </w:tcBorders>
      </w:tcPr>
    </w:tblStylePr>
    <w:tblStylePr w:type="band1Horz">
      <w:rPr>
        <w:color w:val="404040"/>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color w:val="FFFFFF"/>
        <w:sz w:val="22"/>
      </w:rPr>
      <w:tblPr/>
      <w:tcPr>
        <w:shd w:val="clear" w:color="D99695" w:fill="D996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D99695" w:themeColor="accent2" w:sz="4" w:space="0"/>
          <w:right w:val="single" w:color="D99695" w:themeColor="accent2" w:sz="4" w:space="0"/>
        </w:tcBorders>
      </w:tcPr>
    </w:tblStylePr>
    <w:tblStylePr w:type="band1Horz">
      <w:rPr>
        <w:color w:val="404040"/>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color w:val="FFFFFF"/>
        <w:sz w:val="22"/>
      </w:rPr>
      <w:tblPr/>
      <w:tcPr>
        <w:shd w:val="clear" w:color="C3D69B" w:fill="C3D69B"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3D69B" w:themeColor="accent3" w:sz="4" w:space="0"/>
          <w:right w:val="single" w:color="C3D69B" w:themeColor="accent3" w:sz="4" w:space="0"/>
        </w:tcBorders>
      </w:tcPr>
    </w:tblStylePr>
    <w:tblStylePr w:type="band1Horz">
      <w:rPr>
        <w:color w:val="404040"/>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color w:val="FFFFFF"/>
        <w:sz w:val="22"/>
      </w:rPr>
      <w:tblPr/>
      <w:tcPr>
        <w:shd w:val="clear" w:color="B2A1C6"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B2A1C6" w:themeColor="accent4" w:sz="4" w:space="0"/>
          <w:right w:val="single" w:color="B2A1C6" w:themeColor="accent4" w:sz="4" w:space="0"/>
        </w:tcBorders>
      </w:tcPr>
    </w:tblStylePr>
    <w:tblStylePr w:type="band1Horz">
      <w:rPr>
        <w:color w:val="404040"/>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color w:val="FFFFFF"/>
        <w:sz w:val="22"/>
      </w:rPr>
      <w:tblPr/>
      <w:tcPr>
        <w:shd w:val="clear" w:color="92CCDC"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92CCDC" w:themeColor="accent5" w:sz="4" w:space="0"/>
          <w:right w:val="single" w:color="92CCDC" w:themeColor="accent5" w:sz="4" w:space="0"/>
        </w:tcBorders>
      </w:tcPr>
    </w:tblStylePr>
    <w:tblStylePr w:type="band1Horz">
      <w:rPr>
        <w:color w:val="404040"/>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color w:val="FFFFFF"/>
        <w:sz w:val="22"/>
      </w:rPr>
      <w:tblPr/>
      <w:tcPr>
        <w:shd w:val="clear" w:color="FAC090"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AC090" w:themeColor="accent6" w:sz="4" w:space="0"/>
          <w:right w:val="single" w:color="FAC090" w:themeColor="accent6" w:sz="4" w:space="0"/>
        </w:tcBorders>
      </w:tcPr>
    </w:tblStylePr>
    <w:tblStylePr w:type="band1Horz">
      <w:rPr>
        <w:color w:val="404040"/>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color w:val="FFFFFF"/>
        <w:sz w:val="22"/>
      </w:rPr>
      <w:tblPr/>
      <w:tcPr>
        <w:shd w:val="clear" w:color="C0504D"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color w:val="FFFFFF"/>
        <w:sz w:val="22"/>
      </w:rPr>
      <w:tblPr/>
      <w:tcPr>
        <w:shd w:val="clear" w:color="9BBB59"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color w:val="FFFFFF"/>
        <w:sz w:val="22"/>
      </w:rPr>
      <w:tblPr/>
      <w:tcPr>
        <w:shd w:val="clear" w:color="8064A2"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color w:val="FFFFFF"/>
        <w:sz w:val="22"/>
      </w:rPr>
      <w:tblPr/>
      <w:tcPr>
        <w:shd w:val="clear" w:color="4BACC6"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color w:val="FFFFFF"/>
        <w:sz w:val="22"/>
      </w:rPr>
      <w:tblPr/>
      <w:tcPr>
        <w:shd w:val="clear" w:color="F7964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val="FFFFFF"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val="FFFFFF" w:themeColor="light1"/>
        <w:sz w:val="22"/>
      </w:rPr>
      <w:tblPr/>
    </w:tblStylePr>
    <w:tblStylePr w:type="firstCol">
      <w:rPr>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val="FFFFFF"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val="FFFFFF"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val="FFFFFF"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val="FFFFFF"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val="FFFFFF"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firstRow">
      <w:rPr>
        <w:b/>
        <w:color w:val="2A4A71" w:themeColor="accent1" w:themeShade="95"/>
      </w:rPr>
      <w:tblPr/>
      <w:tcPr>
        <w:tcBorders>
          <w:bottom w:val="single" w:color="4F81BD" w:themeColor="accent1" w:sz="4" w:space="0"/>
        </w:tcBorders>
      </w:tcPr>
    </w:tblStylePr>
    <w:tblStylePr w:type="lastRow">
      <w:rPr>
        <w:b/>
        <w:color w:val="2A4A71" w:themeColor="accent1" w:themeShade="95"/>
      </w:rPr>
      <w:tblPr/>
      <w:tcPr>
        <w:tcBorders>
          <w:top w:val="single" w:color="4F81BD" w:themeColor="accent1" w:sz="4" w:space="0"/>
        </w:tcBorders>
      </w:tcPr>
    </w:tblStylePr>
    <w:tblStylePr w:type="firstCol">
      <w:rPr>
        <w:b/>
        <w:color w:val="2A4A71" w:themeColor="accent1" w:themeShade="95"/>
      </w:rPr>
      <w:tblPr/>
    </w:tblStylePr>
    <w:tblStylePr w:type="lastCol">
      <w:rPr>
        <w:b/>
        <w:color w:val="2A4A71" w:themeColor="accent1" w:themeShade="95"/>
      </w:rPr>
      <w:tbl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val="D99695" w:themeColor="accent2" w:themeTint="97" w:themeShade="95"/>
      </w:rPr>
      <w:tblPr/>
      <w:tcPr>
        <w:tcBorders>
          <w:bottom w:val="single" w:color="D99695" w:themeColor="accent2" w:sz="4" w:space="0"/>
        </w:tcBorders>
      </w:tcPr>
    </w:tblStylePr>
    <w:tblStylePr w:type="lastRow">
      <w:rPr>
        <w:b/>
        <w:color w:val="D99695" w:themeColor="accent2" w:themeTint="97" w:themeShade="95"/>
      </w:rPr>
      <w:tblPr/>
      <w:tcPr>
        <w:tcBorders>
          <w:top w:val="single" w:color="D99695" w:themeColor="accent2" w:sz="4" w:space="0"/>
        </w:tcBorders>
      </w:tc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val="C3D69B" w:themeColor="accent3" w:themeTint="98" w:themeShade="95"/>
      </w:rPr>
      <w:tblPr/>
      <w:tcPr>
        <w:tcBorders>
          <w:bottom w:val="single" w:color="C3D69B" w:themeColor="accent3" w:sz="4" w:space="0"/>
        </w:tcBorders>
      </w:tcPr>
    </w:tblStylePr>
    <w:tblStylePr w:type="lastRow">
      <w:rPr>
        <w:b/>
        <w:color w:val="C3D69B" w:themeColor="accent3" w:themeTint="98" w:themeShade="95"/>
      </w:rPr>
      <w:tblPr/>
      <w:tcPr>
        <w:tcBorders>
          <w:top w:val="single" w:color="C3D69B" w:themeColor="accent3" w:sz="4" w:space="0"/>
        </w:tcBorders>
      </w:tcPr>
    </w:tblStylePr>
    <w:tblStylePr w:type="firstCol">
      <w:rPr>
        <w:b/>
        <w:color w:val="C3D69B" w:themeColor="accent3" w:themeTint="98" w:themeShade="95"/>
      </w:rPr>
      <w:tblPr/>
    </w:tblStylePr>
    <w:tblStylePr w:type="lastCol">
      <w:rPr>
        <w:b/>
        <w:color w:val="C3D69B" w:themeColor="accent3" w:themeTint="98" w:themeShade="95"/>
      </w:rPr>
      <w:tbl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val="B2A1C6" w:themeColor="accent4" w:themeTint="9a" w:themeShade="95"/>
      </w:rPr>
      <w:tblPr/>
      <w:tcPr>
        <w:tcBorders>
          <w:bottom w:val="single" w:color="B2A1C6" w:themeColor="accent4" w:sz="4" w:space="0"/>
        </w:tcBorders>
      </w:tcPr>
    </w:tblStylePr>
    <w:tblStylePr w:type="lastRow">
      <w:rPr>
        <w:b/>
        <w:color w:val="B2A1C6" w:themeColor="accent4" w:themeTint="9a" w:themeShade="95"/>
      </w:rPr>
      <w:tblPr/>
      <w:tcPr>
        <w:tcBorders>
          <w:top w:val="single" w:color="B2A1C6" w:themeColor="accent4" w:sz="4" w:space="0"/>
        </w:tcBorders>
      </w:tc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val="92CCDC" w:themeColor="accent5" w:themeTint="9a" w:themeShade="95"/>
      </w:rPr>
      <w:tblPr/>
      <w:tcPr>
        <w:tcBorders>
          <w:bottom w:val="single" w:color="92CCDC" w:themeColor="accent5" w:sz="4" w:space="0"/>
        </w:tcBorders>
      </w:tcPr>
    </w:tblStylePr>
    <w:tblStylePr w:type="lastRow">
      <w:rPr>
        <w:b/>
        <w:color w:val="92CCDC" w:themeColor="accent5" w:themeTint="9a" w:themeShade="95"/>
      </w:rPr>
      <w:tblPr/>
      <w:tcPr>
        <w:tcBorders>
          <w:top w:val="single" w:color="92CCDC" w:themeColor="accent5" w:sz="4" w:space="0"/>
        </w:tcBorders>
      </w:tcPr>
    </w:tblStylePr>
    <w:tblStylePr w:type="firstCol">
      <w:rPr>
        <w:b/>
        <w:color w:val="92CCDC" w:themeColor="accent5" w:themeTint="9a" w:themeShade="95"/>
      </w:rPr>
      <w:tblPr/>
    </w:tblStylePr>
    <w:tblStylePr w:type="lastCol">
      <w:rPr>
        <w:b/>
        <w:color w:val="92CCDC" w:themeColor="accent5" w:themeTint="9a" w:themeShade="95"/>
      </w:rPr>
      <w:tbl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val="FAC090" w:themeColor="accent6" w:themeTint="98" w:themeShade="95"/>
      </w:rPr>
      <w:tblPr/>
      <w:tcPr>
        <w:tcBorders>
          <w:bottom w:val="single" w:color="FAC090" w:themeColor="accent6" w:sz="4" w:space="0"/>
        </w:tcBorders>
      </w:tcPr>
    </w:tblStylePr>
    <w:tblStylePr w:type="lastRow">
      <w:rPr>
        <w:b/>
        <w:color w:val="FAC090" w:themeColor="accent6" w:themeTint="98" w:themeShade="95"/>
      </w:rPr>
      <w:tblPr/>
      <w:tcPr>
        <w:tcBorders>
          <w:top w:val="single" w:color="FAC090" w:themeColor="accent6" w:sz="4" w:space="0"/>
        </w:tcBorders>
      </w:tcPr>
    </w:tblStylePr>
    <w:tblStylePr w:type="firstCol">
      <w:rPr>
        <w:b/>
        <w:color w:val="FAC090" w:themeColor="accent6" w:themeTint="98" w:themeShade="95"/>
      </w:rPr>
      <w:tblPr/>
    </w:tblStylePr>
    <w:tblStylePr w:type="lastCol">
      <w:rPr>
        <w:b/>
        <w:color w:val="FAC090" w:themeColor="accent6" w:themeTint="98" w:themeShade="95"/>
      </w:rPr>
      <w:tbl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color="4F81BD" w:themeColor="accent1" w:sz="4" w:space="0"/>
      </w:tblBorders>
    </w:tblPr>
    <w:tblStylePr w:type="firstRow">
      <w:rPr>
        <w:i/>
        <w:color w:val="2A4A71"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val="2A4A71"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A4A71"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val="2A4A71"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color="D99695" w:themeColor="accent2" w:themeTint="97" w:sz="4" w:space="0"/>
      </w:tblBorders>
    </w:tblPr>
    <w:tblStylePr w:type="firstRow">
      <w:rPr>
        <w:i/>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color="C3D69B" w:themeColor="accent3" w:themeTint="98" w:sz="4" w:space="0"/>
      </w:tblBorders>
    </w:tblPr>
    <w:tblStylePr w:type="firstRow">
      <w:rPr>
        <w:i/>
        <w:color w:val="C3D69B"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val="C3D69B"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3D69B"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val="C3D69B"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color="B2A1C6" w:themeColor="accent4" w:themeTint="9a" w:sz="4" w:space="0"/>
      </w:tblBorders>
    </w:tblPr>
    <w:tblStylePr w:type="firstRow">
      <w:rPr>
        <w:i/>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color="92CCDC" w:themeColor="accent5" w:themeTint="9a" w:sz="4" w:space="0"/>
      </w:tblBorders>
    </w:tblPr>
    <w:tblStylePr w:type="firstRow">
      <w:rPr>
        <w:i/>
        <w:color w:val="92CCDC"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val="92CCDC"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2CCDC"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val="92CCDC"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color="FAC090" w:themeColor="accent6" w:themeTint="98" w:sz="4" w:space="0"/>
      </w:tblBorders>
    </w:tblPr>
    <w:tblStylePr w:type="firstRow">
      <w:rPr>
        <w:i/>
        <w:color w:val="FAC090"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val="FAC090"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AC090"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val="FAC090"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color w:val="404040"/>
        <w:sz w:val="22"/>
      </w:rPr>
      <w:tblPr/>
      <w:tcPr>
        <w:tcBorders>
          <w:bottom w:val="single" w:color="4F81BD" w:themeColor="accent1" w:sz="12" w:space="0"/>
        </w:tcBorders>
      </w:tcPr>
    </w:tblStylePr>
    <w:tblStylePr w:type="lastRow">
      <w:rPr>
        <w:color w:val="404040"/>
        <w:sz w:val="22"/>
      </w:rPr>
      <w:tblPr/>
      <w:tcPr>
        <w:tcBorders>
          <w:top w:val="single" w:color="4F81BD" w:themeColor="accent1" w:sz="12" w:space="0"/>
        </w:tcBorders>
      </w:tcPr>
    </w:tblStylePr>
    <w:tblStylePr w:type="firstCol">
      <w:rPr>
        <w:color w:val="404040"/>
        <w:sz w:val="22"/>
      </w:rPr>
      <w:tblPr/>
    </w:tblStylePr>
    <w:tblStylePr w:type="lastCol">
      <w:rPr>
        <w:color w:val="404040"/>
        <w:sz w:val="22"/>
      </w:rPr>
      <w:tblPr/>
      <w:tcPr>
        <w:tcBorders>
          <w:left w:val="single" w:color="4F81BD" w:themeColor="accent1" w:sz="12" w:space="0"/>
        </w:tcBorders>
      </w:tc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color w:val="404040"/>
        <w:sz w:val="22"/>
      </w:rPr>
      <w:tblPr/>
      <w:tcPr>
        <w:tcBorders>
          <w:bottom w:val="single" w:color="D99695" w:themeColor="accent2" w:sz="12" w:space="0"/>
        </w:tcBorders>
      </w:tcPr>
    </w:tblStylePr>
    <w:tblStylePr w:type="lastRow">
      <w:rPr>
        <w:color w:val="404040"/>
        <w:sz w:val="22"/>
      </w:rPr>
      <w:tblPr/>
      <w:tcPr>
        <w:tcBorders>
          <w:top w:val="single" w:color="D99695" w:themeColor="accent2" w:sz="12" w:space="0"/>
        </w:tcBorders>
      </w:tcPr>
    </w:tblStylePr>
    <w:tblStylePr w:type="firstCol">
      <w:rPr>
        <w:color w:val="404040"/>
        <w:sz w:val="22"/>
      </w:rPr>
      <w:tblPr/>
    </w:tblStylePr>
    <w:tblStylePr w:type="lastCol">
      <w:rPr>
        <w:color w:val="404040"/>
        <w:sz w:val="22"/>
      </w:rPr>
      <w:tblPr/>
      <w:tcPr>
        <w:tcBorders>
          <w:left w:val="single" w:color="D99695" w:themeColor="accent2" w:sz="12" w:space="0"/>
        </w:tcBorders>
      </w:tc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color w:val="404040"/>
        <w:sz w:val="22"/>
      </w:rPr>
      <w:tblPr/>
      <w:tcPr>
        <w:tcBorders>
          <w:bottom w:val="single" w:color="C3D69B" w:themeColor="accent3" w:sz="12" w:space="0"/>
        </w:tcBorders>
      </w:tcPr>
    </w:tblStylePr>
    <w:tblStylePr w:type="lastRow">
      <w:rPr>
        <w:color w:val="404040"/>
        <w:sz w:val="22"/>
      </w:rPr>
      <w:tblPr/>
      <w:tcPr>
        <w:tcBorders>
          <w:top w:val="single" w:color="C3D69B" w:themeColor="accent3" w:sz="12" w:space="0"/>
        </w:tcBorders>
      </w:tcPr>
    </w:tblStylePr>
    <w:tblStylePr w:type="firstCol">
      <w:rPr>
        <w:color w:val="404040"/>
        <w:sz w:val="22"/>
      </w:rPr>
      <w:tblPr/>
    </w:tblStylePr>
    <w:tblStylePr w:type="lastCol">
      <w:rPr>
        <w:color w:val="404040"/>
        <w:sz w:val="22"/>
      </w:rPr>
      <w:tblPr/>
      <w:tcPr>
        <w:tcBorders>
          <w:left w:val="single" w:color="C3D69B" w:themeColor="accent3" w:sz="12" w:space="0"/>
        </w:tcBorders>
      </w:tc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color w:val="404040"/>
        <w:sz w:val="22"/>
      </w:rPr>
      <w:tblPr/>
      <w:tcPr>
        <w:tcBorders>
          <w:bottom w:val="single" w:color="B2A1C6" w:themeColor="accent4" w:sz="12" w:space="0"/>
        </w:tcBorders>
      </w:tcPr>
    </w:tblStylePr>
    <w:tblStylePr w:type="lastRow">
      <w:rPr>
        <w:color w:val="404040"/>
        <w:sz w:val="22"/>
      </w:rPr>
      <w:tblPr/>
      <w:tcPr>
        <w:tcBorders>
          <w:top w:val="single" w:color="B2A1C6" w:themeColor="accent4" w:sz="12" w:space="0"/>
        </w:tcBorders>
      </w:tcPr>
    </w:tblStylePr>
    <w:tblStylePr w:type="firstCol">
      <w:rPr>
        <w:color w:val="404040"/>
        <w:sz w:val="22"/>
      </w:rPr>
      <w:tblPr/>
    </w:tblStylePr>
    <w:tblStylePr w:type="lastCol">
      <w:rPr>
        <w:color w:val="404040"/>
        <w:sz w:val="22"/>
      </w:rPr>
      <w:tblPr/>
      <w:tcPr>
        <w:tcBorders>
          <w:left w:val="single" w:color="B2A1C6" w:themeColor="accent4" w:sz="12" w:space="0"/>
        </w:tcBorders>
      </w:tc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color w:val="404040"/>
        <w:sz w:val="22"/>
      </w:rPr>
      <w:tblPr/>
      <w:tcPr>
        <w:tcBorders>
          <w:bottom w:val="single" w:color="92CCDC" w:themeColor="accent5" w:sz="12" w:space="0"/>
        </w:tcBorders>
      </w:tcPr>
    </w:tblStylePr>
    <w:tblStylePr w:type="lastRow">
      <w:rPr>
        <w:color w:val="404040"/>
        <w:sz w:val="22"/>
      </w:rPr>
      <w:tblPr/>
      <w:tcPr>
        <w:tcBorders>
          <w:top w:val="single" w:color="92CCDC" w:themeColor="accent5" w:sz="12" w:space="0"/>
        </w:tcBorders>
      </w:tcPr>
    </w:tblStylePr>
    <w:tblStylePr w:type="firstCol">
      <w:rPr>
        <w:color w:val="404040"/>
        <w:sz w:val="22"/>
      </w:rPr>
      <w:tblPr/>
    </w:tblStylePr>
    <w:tblStylePr w:type="lastCol">
      <w:rPr>
        <w:color w:val="404040"/>
        <w:sz w:val="22"/>
      </w:rPr>
      <w:tblPr/>
      <w:tcPr>
        <w:tcBorders>
          <w:left w:val="single" w:color="92CCDC" w:themeColor="accent5" w:sz="12" w:space="0"/>
        </w:tcBorders>
      </w:tc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color w:val="404040"/>
        <w:sz w:val="22"/>
      </w:rPr>
      <w:tblPr/>
      <w:tcPr>
        <w:tcBorders>
          <w:bottom w:val="single" w:color="FAC090" w:themeColor="accent6" w:sz="12" w:space="0"/>
        </w:tcBorders>
      </w:tcPr>
    </w:tblStylePr>
    <w:tblStylePr w:type="lastRow">
      <w:rPr>
        <w:color w:val="404040"/>
        <w:sz w:val="22"/>
      </w:rPr>
      <w:tblPr/>
      <w:tcPr>
        <w:tcBorders>
          <w:top w:val="single" w:color="FAC090" w:themeColor="accent6" w:sz="12" w:space="0"/>
        </w:tcBorders>
      </w:tcPr>
    </w:tblStylePr>
    <w:tblStylePr w:type="firstCol">
      <w:rPr>
        <w:color w:val="404040"/>
        <w:sz w:val="22"/>
      </w:rPr>
      <w:tblPr/>
    </w:tblStylePr>
    <w:tblStylePr w:type="lastCol">
      <w:rPr>
        <w:color w:val="404040"/>
        <w:sz w:val="22"/>
      </w:rPr>
      <w:tblPr/>
      <w:tcPr>
        <w:tcBorders>
          <w:left w:val="single" w:color="FAC090" w:themeColor="accent6" w:sz="12" w:space="0"/>
        </w:tcBorders>
      </w:tc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TableNormal">
    <w:name w:val="Table Normal"/>
    <w:tblPr>
      <w:tblCellMar>
        <w:top w:w="0" w:type="dxa"/>
        <w:left w:w="0" w:type="dxa"/>
        <w:bottom w:w="0" w:type="dxa"/>
        <w:right w:w="0" w:type="dxa"/>
      </w:tblCellMar>
    </w:tblPr>
  </w:style>
  <w:style w:type="table" w:customStyle="1" w:styleId="StGen0">
    <w:name w:val="StGen0"/>
    <w:basedOn w:val="TableNormal"/>
    <w:pPr>
      <w:spacing w:after="0" w:line="240" w:lineRule="auto"/>
    </w:pPr>
    <w:tblPr>
      <w:tblStyleRowBandSize w:val="1"/>
      <w:tblStyleColBandSize w:val="1"/>
      <w:tblCellMar>
        <w:left w:w="108"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Application>LibreOffice/6.4.0.3$Windows_x86 LibreOffice_project/b0a288ab3d2d4774cb44b62f04d5d28733ac6df8</Application>
  <Pages>8</Pages>
  <Words>2989</Words>
  <Characters>20153</Characters>
  <CharactersWithSpaces>23171</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2023-03-22T06:51:00Z</dcterms:created>
  <dc:creator>Админ</dc:creator>
  <dc:description/>
  <dc:language>ru-RU</dc:language>
  <cp:lastModifiedBy/>
  <dcterms:modified xsi:type="dcterms:W3CDTF">2023-08-02T16:46:45Z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